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hint="eastAsia" w:ascii="黑体" w:hAnsi="黑体" w:eastAsia="黑体" w:cs="Adobe 仿宋 Std R"/>
          <w:bCs/>
          <w:sz w:val="32"/>
          <w:szCs w:val="32"/>
          <w:lang w:val="en-US" w:eastAsia="zh-CN"/>
        </w:rPr>
      </w:pPr>
      <w:r>
        <w:rPr>
          <w:rFonts w:hint="eastAsia" w:ascii="黑体" w:hAnsi="黑体" w:eastAsia="黑体" w:cs="Adobe 仿宋 Std R"/>
          <w:bCs/>
          <w:sz w:val="32"/>
          <w:szCs w:val="32"/>
        </w:rPr>
        <w:t>附件</w:t>
      </w:r>
      <w:r>
        <w:rPr>
          <w:rFonts w:hint="eastAsia" w:ascii="黑体" w:hAnsi="黑体" w:eastAsia="黑体" w:cs="Adobe 仿宋 Std R"/>
          <w:bCs/>
          <w:sz w:val="32"/>
          <w:szCs w:val="32"/>
          <w:lang w:val="en-US" w:eastAsia="zh-CN"/>
        </w:rPr>
        <w:t>1</w:t>
      </w:r>
      <w:bookmarkStart w:id="2" w:name="_GoBack"/>
      <w:bookmarkEnd w:id="2"/>
    </w:p>
    <w:p>
      <w:pPr>
        <w:spacing w:line="54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企业命题类项目竞赛工作方案</w:t>
      </w:r>
    </w:p>
    <w:p>
      <w:pPr>
        <w:spacing w:line="540" w:lineRule="exact"/>
        <w:jc w:val="center"/>
        <w:rPr>
          <w:rFonts w:ascii="仿宋_GB2312" w:hAnsi="方正小标宋简体" w:eastAsia="仿宋_GB2312" w:cs="方正小标宋简体"/>
          <w:sz w:val="32"/>
          <w:szCs w:val="32"/>
        </w:rPr>
      </w:pPr>
    </w:p>
    <w:p>
      <w:pPr>
        <w:spacing w:line="540" w:lineRule="exact"/>
        <w:ind w:firstLine="640" w:firstLineChars="200"/>
        <w:jc w:val="left"/>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32"/>
          <w14:textFill>
            <w14:solidFill>
              <w14:schemeClr w14:val="tx1"/>
            </w14:solidFill>
          </w14:textFill>
        </w:rPr>
        <w:t>第五届北京市大学生节能节水低碳减排社会实践与科技竞赛增加了企业命题类项目。现将相关安排通知如下。</w:t>
      </w:r>
    </w:p>
    <w:p>
      <w:pPr>
        <w:spacing w:line="540" w:lineRule="exact"/>
        <w:ind w:firstLine="640" w:firstLineChars="200"/>
        <w:jc w:val="left"/>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方正仿宋_GB2312"/>
          <w:color w:val="000000" w:themeColor="text1"/>
          <w:sz w:val="32"/>
          <w:szCs w:val="32"/>
          <w14:textFill>
            <w14:solidFill>
              <w14:schemeClr w14:val="tx1"/>
            </w14:solidFill>
          </w14:textFill>
        </w:rPr>
        <w:t>一</w:t>
      </w:r>
      <w:r>
        <w:rPr>
          <w:rFonts w:hint="eastAsia" w:ascii="黑体" w:hAnsi="黑体" w:eastAsia="黑体" w:cs="宋体"/>
          <w:color w:val="000000" w:themeColor="text1"/>
          <w:sz w:val="32"/>
          <w:szCs w:val="32"/>
          <w14:textFill>
            <w14:solidFill>
              <w14:schemeClr w14:val="tx1"/>
            </w14:solidFill>
          </w14:textFill>
        </w:rPr>
        <w:t>、赛题来源</w:t>
      </w:r>
    </w:p>
    <w:p>
      <w:pPr>
        <w:spacing w:line="54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本届比赛企业命题类项目来自于国内知名企业的产业实践。合作</w:t>
      </w:r>
      <w:r>
        <w:rPr>
          <w:rFonts w:hint="eastAsia" w:ascii="仿宋_GB2312" w:hAnsi="仿宋_GB2312" w:eastAsia="仿宋_GB2312" w:cs="仿宋_GB2312"/>
          <w:color w:val="000000" w:themeColor="text1"/>
          <w:sz w:val="32"/>
          <w:szCs w:val="32"/>
          <w14:textFill>
            <w14:solidFill>
              <w14:schemeClr w14:val="tx1"/>
            </w14:solidFill>
          </w14:textFill>
        </w:rPr>
        <w:t>企业有：</w:t>
      </w:r>
    </w:p>
    <w:p>
      <w:pPr>
        <w:spacing w:line="540" w:lineRule="exact"/>
        <w:ind w:firstLine="640" w:firstLineChars="20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北京北燃实业集团有限公司</w:t>
      </w:r>
      <w:r>
        <w:rPr>
          <w:rFonts w:hint="eastAsia" w:ascii="仿宋_GB2312" w:hAnsi="宋体" w:eastAsia="仿宋_GB2312" w:cs="Times New Roman"/>
          <w:kern w:val="0"/>
          <w:sz w:val="32"/>
          <w:szCs w:val="32"/>
        </w:rPr>
        <w:t>（1项</w:t>
      </w:r>
      <w:r>
        <w:rPr>
          <w:rFonts w:hint="eastAsia" w:ascii="仿宋_GB2312" w:hAnsi="宋体" w:eastAsia="仿宋_GB2312" w:cs="宋体"/>
          <w:color w:val="000000" w:themeColor="text1"/>
          <w:sz w:val="32"/>
          <w:szCs w:val="32"/>
          <w14:textFill>
            <w14:solidFill>
              <w14:schemeClr w14:val="tx1"/>
            </w14:solidFill>
          </w14:textFill>
        </w:rPr>
        <w:t>）</w:t>
      </w:r>
    </w:p>
    <w:p>
      <w:pPr>
        <w:spacing w:line="540" w:lineRule="exact"/>
        <w:ind w:firstLine="640" w:firstLineChars="20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泛华建设集团有限公司（1项）</w:t>
      </w:r>
    </w:p>
    <w:p>
      <w:pPr>
        <w:spacing w:line="540" w:lineRule="exact"/>
        <w:ind w:firstLine="640" w:firstLineChars="20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北京中创碳投科技有限公司、B</w:t>
      </w:r>
      <w:r>
        <w:rPr>
          <w:rFonts w:ascii="仿宋_GB2312" w:hAnsi="宋体" w:eastAsia="仿宋_GB2312" w:cs="宋体"/>
          <w:color w:val="000000" w:themeColor="text1"/>
          <w:sz w:val="32"/>
          <w:szCs w:val="32"/>
          <w14:textFill>
            <w14:solidFill>
              <w14:schemeClr w14:val="tx1"/>
            </w14:solidFill>
          </w14:textFill>
        </w:rPr>
        <w:t>ENTLEY</w:t>
      </w:r>
      <w:r>
        <w:rPr>
          <w:rFonts w:hint="eastAsia" w:ascii="仿宋_GB2312" w:hAnsi="宋体" w:eastAsia="仿宋_GB2312" w:cs="宋体"/>
          <w:color w:val="000000" w:themeColor="text1"/>
          <w:sz w:val="32"/>
          <w:szCs w:val="32"/>
          <w14:textFill>
            <w14:solidFill>
              <w14:schemeClr w14:val="tx1"/>
            </w14:solidFill>
          </w14:textFill>
        </w:rPr>
        <w:t>（北京）软件有限公司（1项）</w:t>
      </w:r>
    </w:p>
    <w:p>
      <w:pPr>
        <w:spacing w:line="540" w:lineRule="exact"/>
        <w:ind w:firstLine="640" w:firstLineChars="200"/>
        <w:jc w:val="left"/>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二、参赛规则</w:t>
      </w:r>
    </w:p>
    <w:p>
      <w:pPr>
        <w:spacing w:line="540" w:lineRule="exact"/>
        <w:ind w:firstLine="640" w:firstLineChars="200"/>
        <w:jc w:val="left"/>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在符合节能减排大赛赛制的前提下，企业命题项目</w:t>
      </w:r>
      <w:r>
        <w:rPr>
          <w:rFonts w:hint="eastAsia" w:ascii="仿宋_GB2312" w:hAnsi="方正仿宋_GB2312" w:eastAsia="仿宋_GB2312" w:cs="方正仿宋_GB2312"/>
          <w:color w:val="000000" w:themeColor="text1"/>
          <w:sz w:val="32"/>
          <w:szCs w:val="32"/>
          <w14:textFill>
            <w14:solidFill>
              <w14:schemeClr w14:val="tx1"/>
            </w14:solidFill>
          </w14:textFill>
        </w:rPr>
        <w:t>不占用主赛道参赛项目名额，</w:t>
      </w:r>
      <w:r>
        <w:rPr>
          <w:rFonts w:hint="eastAsia" w:ascii="仿宋_GB2312" w:hAnsi="宋体" w:eastAsia="仿宋_GB2312" w:cs="宋体"/>
          <w:color w:val="000000" w:themeColor="text1"/>
          <w:sz w:val="32"/>
          <w:szCs w:val="32"/>
          <w14:textFill>
            <w14:solidFill>
              <w14:schemeClr w14:val="tx1"/>
            </w14:solidFill>
          </w14:textFill>
        </w:rPr>
        <w:t>积极鼓励参赛团队根据实际情况选择企业命题项目。</w:t>
      </w:r>
    </w:p>
    <w:p>
      <w:pPr>
        <w:spacing w:line="540" w:lineRule="exact"/>
        <w:ind w:firstLine="640" w:firstLineChars="200"/>
        <w:jc w:val="left"/>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三、评审规则</w:t>
      </w:r>
    </w:p>
    <w:p>
      <w:pPr>
        <w:spacing w:line="540" w:lineRule="exact"/>
        <w:ind w:firstLine="640" w:firstLineChars="200"/>
        <w:jc w:val="left"/>
        <w:rPr>
          <w:rFonts w:ascii="仿宋_GB2312" w:hAnsi="方正仿宋_GB2312" w:eastAsia="仿宋_GB2312" w:cs="方正仿宋_GB2312"/>
          <w:color w:val="000000" w:themeColor="text1"/>
          <w:sz w:val="32"/>
          <w:szCs w:val="32"/>
          <w14:textFill>
            <w14:solidFill>
              <w14:schemeClr w14:val="tx1"/>
            </w14:solidFill>
          </w14:textFill>
        </w:rPr>
      </w:pPr>
      <w:r>
        <w:rPr>
          <w:rFonts w:hint="eastAsia" w:ascii="仿宋_GB2312" w:hAnsi="方正仿宋_GB2312" w:eastAsia="仿宋_GB2312" w:cs="方正仿宋_GB2312"/>
          <w:color w:val="000000" w:themeColor="text1"/>
          <w:sz w:val="32"/>
          <w:szCs w:val="32"/>
          <w14:textFill>
            <w14:solidFill>
              <w14:schemeClr w14:val="tx1"/>
            </w14:solidFill>
          </w14:textFill>
        </w:rPr>
        <w:t>企业命题类项目单独评审。组委会将根据项目参与情况和完成情况，组建包括企业方参与的评审组对项目进行评审，最终评选奖项。企业命题类项目评比奖项不占用主赛道的奖项名额，对获奖项目给与一定额度的奖金支持。</w:t>
      </w:r>
    </w:p>
    <w:p>
      <w:pPr>
        <w:pStyle w:val="8"/>
        <w:widowControl/>
        <w:spacing w:line="560" w:lineRule="exact"/>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北京市大学生节能节水低碳减排</w:t>
      </w:r>
    </w:p>
    <w:p>
      <w:pPr>
        <w:pStyle w:val="8"/>
        <w:widowControl/>
        <w:spacing w:line="560" w:lineRule="exact"/>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　　社会实践与科技竞赛组委会</w:t>
      </w:r>
    </w:p>
    <w:p>
      <w:pPr>
        <w:pStyle w:val="8"/>
        <w:widowControl/>
        <w:spacing w:line="560" w:lineRule="exact"/>
        <w:ind w:firstLine="640"/>
        <w:jc w:val="right"/>
        <w:rPr>
          <w:rFonts w:ascii="Times New Roman" w:hAnsi="Times New Roman" w:eastAsia="仿宋_GB2312"/>
          <w:color w:val="000000"/>
          <w:sz w:val="32"/>
          <w:szCs w:val="32"/>
          <w:shd w:val="clear" w:color="auto" w:fill="FFFFFF"/>
        </w:rPr>
      </w:pPr>
      <w:r>
        <w:rPr>
          <w:rFonts w:hint="eastAsia" w:ascii="Times New Roman" w:hAnsi="Times New Roman" w:eastAsia="仿宋_GB2312"/>
          <w:color w:val="000000"/>
          <w:sz w:val="32"/>
          <w:szCs w:val="32"/>
          <w:shd w:val="clear" w:color="auto" w:fill="FFFFFF"/>
        </w:rPr>
        <w:t>2023年3月</w:t>
      </w:r>
      <w:r>
        <w:rPr>
          <w:rFonts w:hint="eastAsia" w:ascii="Times New Roman" w:hAnsi="Times New Roman" w:eastAsia="仿宋_GB2312"/>
          <w:color w:val="000000"/>
          <w:sz w:val="32"/>
          <w:szCs w:val="32"/>
          <w:shd w:val="clear" w:color="auto" w:fill="FFFFFF"/>
          <w:lang w:val="en-US" w:eastAsia="zh-CN"/>
        </w:rPr>
        <w:t>15</w:t>
      </w:r>
      <w:r>
        <w:rPr>
          <w:rFonts w:hint="eastAsia" w:ascii="Times New Roman" w:hAnsi="Times New Roman" w:eastAsia="仿宋_GB2312"/>
          <w:color w:val="000000"/>
          <w:sz w:val="32"/>
          <w:szCs w:val="32"/>
          <w:shd w:val="clear" w:color="auto" w:fill="FFFFFF"/>
        </w:rPr>
        <w:t>日</w:t>
      </w:r>
    </w:p>
    <w:p>
      <w:pPr>
        <w:pStyle w:val="2"/>
      </w:pPr>
    </w:p>
    <w:p>
      <w:pPr>
        <w:pStyle w:val="2"/>
      </w:pPr>
    </w:p>
    <w:p>
      <w:pPr>
        <w:pStyle w:val="2"/>
      </w:pPr>
      <w:r>
        <w:rPr>
          <w:rFonts w:hint="eastAsia"/>
        </w:rPr>
        <w:t xml:space="preserve">命题1: </w:t>
      </w:r>
      <w:bookmarkStart w:id="0" w:name="OLE_LINK4"/>
      <w:bookmarkStart w:id="1" w:name="OLE_LINK3"/>
      <w:r>
        <w:rPr>
          <w:rFonts w:hint="eastAsia"/>
        </w:rPr>
        <w:t>校园区域综合能源系统规划</w:t>
      </w:r>
    </w:p>
    <w:bookmarkEnd w:id="0"/>
    <w:bookmarkEnd w:id="1"/>
    <w:p>
      <w:pPr>
        <w:rPr>
          <w:rFonts w:ascii="宋体" w:hAnsi="宋体" w:eastAsia="宋体"/>
          <w:sz w:val="24"/>
          <w:szCs w:val="24"/>
        </w:rPr>
      </w:pPr>
    </w:p>
    <w:tbl>
      <w:tblPr>
        <w:tblStyle w:val="11"/>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20" w:type="dxa"/>
          </w:tcPr>
          <w:p>
            <w:pPr>
              <w:pStyle w:val="8"/>
              <w:widowControl/>
              <w:spacing w:before="100" w:beforeAutospacing="1" w:after="100" w:afterAutospacing="1" w:line="440" w:lineRule="exact"/>
              <w:jc w:val="center"/>
              <w:rPr>
                <w:rFonts w:ascii="仿宋_GB2312" w:hAnsi="仿宋_GB2312" w:eastAsia="仿宋_GB2312" w:cs="仿宋_GB2312"/>
                <w:sz w:val="28"/>
                <w:szCs w:val="28"/>
              </w:rPr>
            </w:pPr>
            <w:r>
              <w:rPr>
                <w:rFonts w:hint="eastAsia" w:ascii="仿宋_GB2312" w:hAnsi="仿宋_GB2312" w:eastAsia="仿宋_GB2312" w:cs="仿宋_GB2312"/>
                <w:kern w:val="0"/>
                <w:sz w:val="24"/>
                <w:szCs w:val="24"/>
                <w:lang w:val="en-US" w:eastAsia="zh-CN" w:bidi="ar-SA"/>
              </w:rPr>
              <w:t>北京高校校园区域综合能源系统规划策略研究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920" w:type="dxa"/>
          </w:tcPr>
          <w:p>
            <w:pPr>
              <w:spacing w:line="360" w:lineRule="auto"/>
              <w:jc w:val="righ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问题提出方：北京北燃实业集团有限公司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8920" w:type="dxa"/>
          </w:tcPr>
          <w:p>
            <w:pPr>
              <w:spacing w:line="360" w:lineRule="auto"/>
              <w:rPr>
                <w:rFonts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1.问题背景</w:t>
            </w:r>
          </w:p>
          <w:p>
            <w:pPr>
              <w:spacing w:line="360" w:lineRule="auto"/>
              <w:ind w:firstLine="480" w:firstLineChars="2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随着全球气候变化和环境污染问题日益突出，减少能源消耗和降低碳排放已经成为全社会共同的责任和使命。随着碳中和、碳达峰政策的不断出台，具有较低碳排放的多能耦合综合能源系统越来越成为区域能源系统的首选。多能耦合是指将多种能源进行整合、协同管理和运营，以实现能源资源的更高效利用和更低碳排放，旨在促进能源系统的可持续发展，提高能源的可靠性和安全性。在综合能源系统中，不同类型的能源资源（如天然气、氢能、太阳能、风能、地热能、天然气等）可以相互协作，以适应不同的能源需求和供应场景。</w:t>
            </w:r>
          </w:p>
          <w:p>
            <w:pPr>
              <w:spacing w:line="360" w:lineRule="auto"/>
              <w:ind w:firstLine="480" w:firstLineChars="2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校园作为一个人员密集区域，其能源消耗量相当可观，合理规划校园能源系统组成、加强校园能源管理、推广可持续发展理念，应当成为当前校园节能减排工作的重要任务。同时，校园作为一个相对封闭的区域，在能源使用及供给方面具有一定的典型性和可控性，因此，合理进行校园区域综合能源系统规划，是促进校园能源可持续发展的有效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8920" w:type="dxa"/>
          </w:tcPr>
          <w:p>
            <w:pPr>
              <w:pStyle w:val="25"/>
              <w:spacing w:line="360" w:lineRule="auto"/>
              <w:ind w:firstLine="0" w:firstLineChars="0"/>
              <w:rPr>
                <w:rFonts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2.设计目标</w:t>
            </w:r>
          </w:p>
          <w:p>
            <w:pPr>
              <w:spacing w:line="360" w:lineRule="auto"/>
              <w:ind w:firstLine="480" w:firstLineChars="2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对高校校园进行综合能源规划，根据校园能源需求和资源禀赋，合理利用一次能源、地源热泵、储能、深层地热、光伏太阳能等多种能源技术，最大限度使用区域内可再生能源，提出一套适用于北京市高校校园的综合能源规划策略，以实现校园低碳零碳发展的目标，同时保证能源系统的安全可靠和经济环保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8920" w:type="dxa"/>
          </w:tcPr>
          <w:p>
            <w:pPr>
              <w:spacing w:line="360" w:lineRule="auto"/>
              <w:rPr>
                <w:rFonts w:ascii="仿宋_GB2312" w:hAnsi="仿宋_GB2312" w:eastAsia="仿宋_GB2312" w:cs="仿宋_GB2312"/>
                <w:b/>
                <w:sz w:val="24"/>
                <w:szCs w:val="24"/>
              </w:rPr>
            </w:pPr>
            <w:r>
              <w:rPr>
                <w:rFonts w:hint="eastAsia" w:ascii="仿宋_GB2312" w:hAnsi="仿宋_GB2312" w:eastAsia="仿宋_GB2312" w:cs="仿宋_GB2312"/>
                <w:b/>
                <w:sz w:val="24"/>
                <w:szCs w:val="24"/>
              </w:rPr>
              <w:t>咨询联系人：吴荣</w:t>
            </w:r>
          </w:p>
          <w:p>
            <w:pPr>
              <w:spacing w:line="360" w:lineRule="auto"/>
              <w:rPr>
                <w:rFonts w:ascii="仿宋_GB2312" w:hAnsi="仿宋_GB2312" w:eastAsia="仿宋_GB2312" w:cs="仿宋_GB2312"/>
                <w:b/>
                <w:kern w:val="0"/>
                <w:sz w:val="24"/>
                <w:szCs w:val="24"/>
              </w:rPr>
            </w:pPr>
            <w:r>
              <w:rPr>
                <w:rFonts w:hint="eastAsia" w:ascii="仿宋_GB2312" w:hAnsi="仿宋_GB2312" w:eastAsia="仿宋_GB2312" w:cs="仿宋_GB2312"/>
                <w:b/>
                <w:sz w:val="24"/>
                <w:szCs w:val="24"/>
              </w:rPr>
              <w:t>联系电话：18511525607</w:t>
            </w:r>
          </w:p>
        </w:tc>
      </w:tr>
    </w:tbl>
    <w:p>
      <w:pPr>
        <w:rPr>
          <w:rFonts w:ascii="Times New Roman" w:hAnsi="Times New Roman" w:eastAsia="仿宋_GB2312"/>
          <w:color w:val="000000"/>
          <w:sz w:val="32"/>
          <w:szCs w:val="32"/>
          <w:shd w:val="clear" w:color="auto" w:fill="FFFFFF"/>
        </w:rPr>
      </w:pPr>
      <w:r>
        <w:rPr>
          <w:rFonts w:hint="eastAsia" w:ascii="Times New Roman" w:hAnsi="Times New Roman" w:eastAsia="仿宋_GB2312"/>
          <w:color w:val="000000"/>
          <w:sz w:val="32"/>
          <w:szCs w:val="32"/>
          <w:shd w:val="clear" w:color="auto" w:fill="FFFFFF"/>
        </w:rPr>
        <w:br w:type="page"/>
      </w:r>
    </w:p>
    <w:p>
      <w:pPr>
        <w:pStyle w:val="2"/>
      </w:pPr>
      <w:r>
        <w:rPr>
          <w:rFonts w:hint="eastAsia"/>
        </w:rPr>
        <w:t>命题2: 系统性节能双碳场景营造和概念设计</w:t>
      </w:r>
    </w:p>
    <w:p>
      <w:pPr>
        <w:rPr>
          <w:rFonts w:ascii="宋体" w:hAnsi="宋体" w:eastAsia="宋体"/>
          <w:sz w:val="24"/>
          <w:szCs w:val="24"/>
        </w:rPr>
      </w:pPr>
    </w:p>
    <w:tbl>
      <w:tblPr>
        <w:tblStyle w:val="11"/>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20" w:type="dxa"/>
          </w:tcPr>
          <w:p>
            <w:pPr>
              <w:pStyle w:val="8"/>
              <w:widowControl/>
              <w:spacing w:before="100" w:beforeAutospacing="1" w:after="100" w:afterAutospacing="1" w:line="440" w:lineRule="exact"/>
              <w:jc w:val="center"/>
              <w:rPr>
                <w:rFonts w:ascii="仿宋_GB2312" w:hAnsi="仿宋_GB2312" w:eastAsia="仿宋_GB2312" w:cs="仿宋_GB2312"/>
                <w:szCs w:val="24"/>
              </w:rPr>
            </w:pPr>
            <w:r>
              <w:rPr>
                <w:rFonts w:hint="eastAsia" w:ascii="仿宋_GB2312" w:hAnsi="仿宋_GB2312" w:eastAsia="仿宋_GB2312" w:cs="仿宋_GB2312"/>
                <w:szCs w:val="24"/>
              </w:rPr>
              <w:t>系统性节能双碳场景营造和概念设计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920" w:type="dxa"/>
          </w:tcPr>
          <w:p>
            <w:pPr>
              <w:spacing w:line="360" w:lineRule="auto"/>
              <w:jc w:val="righ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问题提出方：泛华建设集团有限公司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8920" w:type="dxa"/>
          </w:tcPr>
          <w:p>
            <w:pPr>
              <w:spacing w:line="360" w:lineRule="auto"/>
              <w:rPr>
                <w:rFonts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1.问题背景</w:t>
            </w:r>
          </w:p>
          <w:p>
            <w:pPr>
              <w:spacing w:line="360" w:lineRule="auto"/>
              <w:ind w:firstLine="456" w:firstLineChars="190"/>
              <w:rPr>
                <w:rFonts w:ascii="仿宋_GB2312" w:hAnsi="仿宋_GB2312" w:eastAsia="仿宋_GB2312" w:cs="仿宋_GB2312"/>
                <w:kern w:val="0"/>
                <w:sz w:val="24"/>
                <w:szCs w:val="24"/>
              </w:rPr>
            </w:pPr>
            <w:r>
              <w:rPr>
                <w:rFonts w:hint="eastAsia" w:ascii="仿宋_GB2312" w:hAnsi="仿宋_GB2312" w:eastAsia="仿宋_GB2312" w:cs="仿宋_GB2312"/>
                <w:color w:val="333333"/>
                <w:kern w:val="0"/>
                <w:sz w:val="24"/>
                <w:szCs w:val="24"/>
                <w:shd w:val="clear" w:color="auto" w:fill="FFFFFF"/>
              </w:rPr>
              <w:t>《中共中央国务院关于完整准确全面贯彻新发展理念做好碳达峰碳中和工作的意见》和《国务院关于印发2030年前碳达峰行动方案的通知》从国家层面对“双碳”工作进行顶层设计，提出完整、准确、全面贯彻新发展理念，培育和践行节约集约循环利用的资源观的整体要求；过去10年，国内节能工作在各行业、各领域和各地均达到了较高水平，取得了长足有效的发展，为减碳增效做了很大贡献，同时我们也是意识到节能工作更多的关注和在本体、本行业和本领域进行</w:t>
            </w:r>
            <w:r>
              <w:rPr>
                <w:rFonts w:hint="eastAsia" w:ascii="仿宋_GB2312" w:hAnsi="仿宋_GB2312" w:eastAsia="仿宋_GB2312" w:cs="仿宋_GB2312"/>
                <w:kern w:val="0"/>
                <w:sz w:val="24"/>
                <w:szCs w:val="24"/>
              </w:rPr>
              <w:t>。</w:t>
            </w:r>
            <w:r>
              <w:rPr>
                <w:rFonts w:hint="eastAsia" w:ascii="仿宋_GB2312" w:hAnsi="仿宋_GB2312" w:eastAsia="仿宋_GB2312" w:cs="仿宋_GB2312"/>
                <w:color w:val="333333"/>
                <w:kern w:val="0"/>
                <w:sz w:val="24"/>
                <w:szCs w:val="24"/>
                <w:shd w:val="clear" w:color="auto" w:fill="FFFFFF"/>
              </w:rPr>
              <w:t>服务双碳战略的整体目标和项目实践，为更好的挖掘潜能、盘活存量和提升效能，我们创新构建系统性节能理念和项目实践，探索城市承载国家战略落地和低碳绿色发展的可实施路径。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7" w:hRule="atLeast"/>
        </w:trPr>
        <w:tc>
          <w:tcPr>
            <w:tcW w:w="8920" w:type="dxa"/>
          </w:tcPr>
          <w:p>
            <w:pPr>
              <w:spacing w:line="360" w:lineRule="auto"/>
              <w:rPr>
                <w:rFonts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2.设计目标</w:t>
            </w:r>
          </w:p>
          <w:p>
            <w:pPr>
              <w:spacing w:line="360" w:lineRule="auto"/>
              <w:ind w:firstLine="480" w:firstLineChars="200"/>
              <w:rPr>
                <w:rFonts w:ascii="仿宋_GB2312" w:hAnsi="仿宋_GB2312" w:eastAsia="仿宋_GB2312" w:cs="仿宋_GB2312"/>
                <w:color w:val="333333"/>
                <w:kern w:val="0"/>
                <w:sz w:val="24"/>
                <w:szCs w:val="24"/>
                <w:shd w:val="clear" w:color="auto" w:fill="FFFFFF"/>
              </w:rPr>
            </w:pPr>
            <w:r>
              <w:rPr>
                <w:rFonts w:hint="eastAsia" w:ascii="仿宋_GB2312" w:hAnsi="仿宋_GB2312" w:eastAsia="仿宋_GB2312" w:cs="仿宋_GB2312"/>
                <w:color w:val="333333"/>
                <w:kern w:val="0"/>
                <w:sz w:val="24"/>
                <w:szCs w:val="24"/>
                <w:shd w:val="clear" w:color="auto" w:fill="FFFFFF"/>
              </w:rPr>
              <w:t>系统性节能提炼成3转变1提升，具体展开为设计节能向运营节能转变、楼宇节能向区域节能、点节能立体节能转变，设备能效提升向体统能效提升；</w:t>
            </w:r>
          </w:p>
          <w:p>
            <w:pPr>
              <w:spacing w:line="360" w:lineRule="auto"/>
              <w:ind w:firstLine="480" w:firstLineChars="200"/>
              <w:rPr>
                <w:rFonts w:ascii="仿宋_GB2312" w:hAnsi="仿宋_GB2312" w:eastAsia="仿宋_GB2312" w:cs="仿宋_GB2312"/>
                <w:color w:val="333333"/>
                <w:kern w:val="0"/>
                <w:sz w:val="24"/>
                <w:szCs w:val="24"/>
                <w:shd w:val="clear" w:color="auto" w:fill="FFFFFF"/>
              </w:rPr>
            </w:pPr>
            <w:r>
              <w:rPr>
                <w:rFonts w:hint="eastAsia" w:ascii="仿宋_GB2312" w:hAnsi="仿宋_GB2312" w:eastAsia="仿宋_GB2312" w:cs="仿宋_GB2312"/>
                <w:color w:val="333333"/>
                <w:kern w:val="0"/>
                <w:sz w:val="24"/>
                <w:szCs w:val="24"/>
                <w:shd w:val="clear" w:color="auto" w:fill="FFFFFF"/>
              </w:rPr>
              <w:t>(1)结合所学知识和社会实践应进行系统性节能双碳应用场景设计(可借鉴但不限于：大学校园内多能互补、梯级利用、余废热再利用、效能提升、盘活存量和可再生能源等一种或多种模块化组合)。</w:t>
            </w:r>
          </w:p>
          <w:p>
            <w:pPr>
              <w:spacing w:line="360" w:lineRule="auto"/>
              <w:ind w:firstLine="480" w:firstLineChars="200"/>
              <w:rPr>
                <w:rFonts w:ascii="仿宋_GB2312" w:hAnsi="仿宋_GB2312" w:eastAsia="仿宋_GB2312" w:cs="仿宋_GB2312"/>
                <w:color w:val="333333"/>
                <w:kern w:val="0"/>
                <w:sz w:val="24"/>
                <w:szCs w:val="24"/>
                <w:shd w:val="clear" w:color="auto" w:fill="FFFFFF"/>
              </w:rPr>
            </w:pPr>
            <w:r>
              <w:rPr>
                <w:rFonts w:hint="eastAsia" w:ascii="仿宋_GB2312" w:hAnsi="仿宋_GB2312" w:eastAsia="仿宋_GB2312" w:cs="仿宋_GB2312"/>
                <w:color w:val="333333"/>
                <w:kern w:val="0"/>
                <w:sz w:val="24"/>
                <w:szCs w:val="24"/>
                <w:shd w:val="clear" w:color="auto" w:fill="FFFFFF"/>
              </w:rPr>
              <w:t>(2)对系统性节能进行概念设计(可包含但不限于技术路线、流程优化、商业模式、理念创新、产品应用等)。</w:t>
            </w:r>
          </w:p>
          <w:p>
            <w:pPr>
              <w:spacing w:line="360" w:lineRule="auto"/>
              <w:ind w:firstLine="480" w:firstLineChars="2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备注；设计成果可以是目标(1)或者(2)其中之一，也可以是目标(1)(2)都兼得。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8920" w:type="dxa"/>
          </w:tcPr>
          <w:p>
            <w:pPr>
              <w:spacing w:line="360" w:lineRule="auto"/>
              <w:rPr>
                <w:rFonts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咨询联系人：白首跃</w:t>
            </w:r>
          </w:p>
          <w:p>
            <w:pPr>
              <w:spacing w:line="360" w:lineRule="auto"/>
              <w:rPr>
                <w:rFonts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联系电话：13911071978</w:t>
            </w:r>
          </w:p>
        </w:tc>
      </w:tr>
    </w:tbl>
    <w:p>
      <w:pPr>
        <w:rPr>
          <w:rFonts w:ascii="Times New Roman" w:hAnsi="Times New Roman" w:eastAsia="仿宋_GB2312"/>
          <w:color w:val="000000"/>
          <w:sz w:val="32"/>
          <w:szCs w:val="32"/>
          <w:shd w:val="clear" w:color="auto" w:fill="FFFFFF"/>
        </w:rPr>
      </w:pPr>
      <w:r>
        <w:rPr>
          <w:rFonts w:hint="eastAsia" w:ascii="Times New Roman" w:hAnsi="Times New Roman" w:eastAsia="仿宋_GB2312"/>
          <w:color w:val="000000"/>
          <w:sz w:val="32"/>
          <w:szCs w:val="32"/>
          <w:shd w:val="clear" w:color="auto" w:fill="FFFFFF"/>
        </w:rPr>
        <w:br w:type="page"/>
      </w:r>
    </w:p>
    <w:p>
      <w:pPr>
        <w:pStyle w:val="2"/>
        <w:rPr>
          <w:rFonts w:hint="eastAsia"/>
        </w:rPr>
      </w:pPr>
      <w:r>
        <w:rPr>
          <w:rFonts w:hint="eastAsia"/>
          <w:lang w:val="en-US" w:eastAsia="zh-CN"/>
        </w:rPr>
        <w:t>命题3</w:t>
      </w:r>
      <w:r>
        <w:rPr>
          <w:rFonts w:hint="eastAsia"/>
        </w:rPr>
        <w:t>:建筑用能与外观结构设计</w:t>
      </w:r>
    </w:p>
    <w:p>
      <w:pPr>
        <w:rPr>
          <w:rFonts w:ascii="宋体" w:hAnsi="宋体" w:eastAsia="宋体"/>
          <w:sz w:val="24"/>
          <w:szCs w:val="24"/>
        </w:rPr>
      </w:pPr>
    </w:p>
    <w:tbl>
      <w:tblPr>
        <w:tblStyle w:val="11"/>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920" w:type="dxa"/>
          </w:tcPr>
          <w:p>
            <w:pPr>
              <w:pStyle w:val="8"/>
              <w:widowControl/>
              <w:spacing w:before="100" w:beforeAutospacing="1" w:after="100" w:afterAutospacing="1"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建筑用能与外观结构设计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920" w:type="dxa"/>
          </w:tcPr>
          <w:p>
            <w:pPr>
              <w:spacing w:line="360" w:lineRule="auto"/>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问题提出方：北京中创碳投科技有限公司</w:t>
            </w:r>
          </w:p>
          <w:p>
            <w:pPr>
              <w:spacing w:line="360" w:lineRule="auto"/>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BENTLEY软件（北京）有限公司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8920" w:type="dxa"/>
          </w:tcPr>
          <w:p>
            <w:pPr>
              <w:spacing w:line="360" w:lineRule="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lang w:val="en-US" w:eastAsia="zh-CN"/>
              </w:rPr>
              <w:t>1.</w:t>
            </w:r>
            <w:r>
              <w:rPr>
                <w:rFonts w:hint="eastAsia" w:ascii="仿宋_GB2312" w:hAnsi="仿宋_GB2312" w:eastAsia="仿宋_GB2312" w:cs="仿宋_GB2312"/>
                <w:b/>
                <w:bCs/>
                <w:kern w:val="0"/>
                <w:sz w:val="24"/>
                <w:szCs w:val="24"/>
              </w:rPr>
              <w:t>问题背景</w:t>
            </w:r>
          </w:p>
          <w:p>
            <w:pPr>
              <w:spacing w:line="360" w:lineRule="auto"/>
              <w:ind w:firstLine="456" w:firstLineChars="19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2021年10月24日，国务院印发《2030年碳达峰行动方案》，提出要加快优化建筑用能结构，提高建筑终端电气化水平，深化可再生能源建筑应用，推广光伏发电与建筑一体化应用等。</w:t>
            </w:r>
          </w:p>
          <w:p>
            <w:pPr>
              <w:spacing w:line="360" w:lineRule="auto"/>
              <w:ind w:firstLine="456" w:firstLineChars="19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与此同时，随着人们对于建筑需求的提升。除使用要求外，也同样关注建筑结构与外观的美学思想和表现。地标性的建筑是一座城市的象征。如何在综合考虑到建筑用能的同时与建筑美学相融合，让二者完美的呈现，是我们对于未来建筑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trPr>
        <w:tc>
          <w:tcPr>
            <w:tcW w:w="8920" w:type="dxa"/>
          </w:tcPr>
          <w:p>
            <w:pPr>
              <w:spacing w:line="360" w:lineRule="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lang w:val="en-US" w:eastAsia="zh-CN"/>
              </w:rPr>
              <w:t>2.</w:t>
            </w:r>
            <w:r>
              <w:rPr>
                <w:rFonts w:hint="eastAsia" w:ascii="仿宋_GB2312" w:hAnsi="仿宋_GB2312" w:eastAsia="仿宋_GB2312" w:cs="仿宋_GB2312"/>
                <w:b/>
                <w:bCs/>
                <w:kern w:val="0"/>
                <w:sz w:val="24"/>
                <w:szCs w:val="24"/>
              </w:rPr>
              <w:t>设计目标</w:t>
            </w:r>
          </w:p>
          <w:p>
            <w:pPr>
              <w:spacing w:line="360" w:lineRule="auto"/>
              <w:ind w:firstLine="456" w:firstLineChars="19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基于某既有建筑（也可设计新建建筑），在兼顾结构与外观的美学基础上，设计建筑能源控制系统，综合考虑建筑负荷，可再生能源出力等因素。</w:t>
            </w:r>
          </w:p>
          <w:p>
            <w:pPr>
              <w:spacing w:line="360" w:lineRule="auto"/>
              <w:ind w:firstLine="456" w:firstLineChars="19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作品分为三部分：</w:t>
            </w:r>
          </w:p>
          <w:p>
            <w:pPr>
              <w:pStyle w:val="25"/>
              <w:numPr>
                <w:ilvl w:val="0"/>
                <w:numId w:val="1"/>
              </w:numPr>
              <w:spacing w:line="360" w:lineRule="auto"/>
              <w:ind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模型：模型部分需要采用Bentley 软件的MicroStation、OpenBuildings Designer等进行模型搭建，用LumenRT使其模型变成更精美并易于理解的可视化文件。</w:t>
            </w:r>
          </w:p>
          <w:p>
            <w:pPr>
              <w:pStyle w:val="25"/>
              <w:numPr>
                <w:ilvl w:val="0"/>
                <w:numId w:val="1"/>
              </w:numPr>
              <w:spacing w:line="360" w:lineRule="auto"/>
              <w:ind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理论部分：形式不做限制。</w:t>
            </w:r>
          </w:p>
          <w:p>
            <w:pPr>
              <w:pStyle w:val="25"/>
              <w:numPr>
                <w:ilvl w:val="0"/>
                <w:numId w:val="1"/>
              </w:numPr>
              <w:spacing w:line="360" w:lineRule="auto"/>
              <w:ind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作品介绍：可采用视频等形式，主要分享设计思路，软件使用心得。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trPr>
        <w:tc>
          <w:tcPr>
            <w:tcW w:w="8920" w:type="dxa"/>
          </w:tcPr>
          <w:p>
            <w:pPr>
              <w:spacing w:line="360" w:lineRule="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咨询联系人：张彼得、王玥星</w:t>
            </w:r>
          </w:p>
          <w:p>
            <w:pPr>
              <w:spacing w:line="360" w:lineRule="auto"/>
              <w:rPr>
                <w:rFonts w:hint="eastAsia" w:ascii="仿宋_GB2312" w:hAnsi="仿宋_GB2312" w:eastAsia="仿宋_GB2312" w:cs="仿宋_GB2312"/>
                <w:b/>
                <w:kern w:val="0"/>
                <w:sz w:val="24"/>
                <w:szCs w:val="24"/>
              </w:rPr>
            </w:pPr>
            <w:r>
              <w:rPr>
                <w:rFonts w:hint="eastAsia" w:ascii="仿宋_GB2312" w:hAnsi="仿宋_GB2312" w:eastAsia="仿宋_GB2312" w:cs="仿宋_GB2312"/>
                <w:b/>
                <w:sz w:val="24"/>
                <w:szCs w:val="24"/>
              </w:rPr>
              <w:t>联系电话：18301239330、13522644931</w:t>
            </w:r>
          </w:p>
        </w:tc>
      </w:tr>
    </w:tbl>
    <w:p>
      <w:pPr>
        <w:rPr>
          <w:rFonts w:ascii="宋体" w:hAnsi="宋体" w:eastAsia="宋体"/>
          <w:sz w:val="24"/>
          <w:szCs w:val="24"/>
        </w:rPr>
      </w:pPr>
    </w:p>
    <w:sectPr>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2548AF-AF68-4675-95AE-542858D517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dobe 仿宋 Std R">
    <w:altName w:val="仿宋"/>
    <w:panose1 w:val="00000000000000000000"/>
    <w:charset w:val="00"/>
    <w:family w:val="roman"/>
    <w:pitch w:val="default"/>
    <w:sig w:usb0="00000000" w:usb1="00000000" w:usb2="00000016" w:usb3="00000000" w:csb0="00060007" w:csb1="00000000"/>
    <w:embedRegular r:id="rId2" w:fontKey="{13AC3DC1-30AC-42E6-8950-EF99D954BAF2}"/>
  </w:font>
  <w:font w:name="方正小标宋简体">
    <w:panose1 w:val="03000509000000000000"/>
    <w:charset w:val="86"/>
    <w:family w:val="auto"/>
    <w:pitch w:val="default"/>
    <w:sig w:usb0="00000001" w:usb1="080E0000" w:usb2="00000000" w:usb3="00000000" w:csb0="00040000" w:csb1="00000000"/>
    <w:embedRegular r:id="rId3" w:fontKey="{DE0170CA-D2AC-44BE-A1A6-AD67F407CE33}"/>
  </w:font>
  <w:font w:name="仿宋_GB2312">
    <w:panose1 w:val="02010609030101010101"/>
    <w:charset w:val="86"/>
    <w:family w:val="modern"/>
    <w:pitch w:val="default"/>
    <w:sig w:usb0="00000001" w:usb1="080E0000" w:usb2="00000000" w:usb3="00000000" w:csb0="00040000" w:csb1="00000000"/>
    <w:embedRegular r:id="rId4" w:fontKey="{C35DB712-D8F7-40A4-A82A-05F1E00041BE}"/>
  </w:font>
  <w:font w:name="方正仿宋_GB2312">
    <w:panose1 w:val="02000000000000000000"/>
    <w:charset w:val="86"/>
    <w:family w:val="auto"/>
    <w:pitch w:val="default"/>
    <w:sig w:usb0="A00002BF" w:usb1="184F6CFA" w:usb2="00000012" w:usb3="00000000" w:csb0="00040001" w:csb1="00000000"/>
    <w:embedRegular r:id="rId5" w:fontKey="{F0BF2C00-E8F5-40CE-B3B4-1BC5630E6B6A}"/>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A59C7"/>
    <w:multiLevelType w:val="multilevel"/>
    <w:tmpl w:val="15AA59C7"/>
    <w:lvl w:ilvl="0" w:tentative="0">
      <w:start w:val="1"/>
      <w:numFmt w:val="decimal"/>
      <w:lvlText w:val="%1."/>
      <w:lvlJc w:val="left"/>
      <w:pPr>
        <w:ind w:left="816" w:hanging="360"/>
      </w:pPr>
      <w:rPr>
        <w:rFonts w:hint="default"/>
      </w:rPr>
    </w:lvl>
    <w:lvl w:ilvl="1" w:tentative="0">
      <w:start w:val="1"/>
      <w:numFmt w:val="lowerLetter"/>
      <w:lvlText w:val="%2)"/>
      <w:lvlJc w:val="left"/>
      <w:pPr>
        <w:ind w:left="1296" w:hanging="420"/>
      </w:pPr>
    </w:lvl>
    <w:lvl w:ilvl="2" w:tentative="0">
      <w:start w:val="1"/>
      <w:numFmt w:val="lowerRoman"/>
      <w:lvlText w:val="%3."/>
      <w:lvlJc w:val="right"/>
      <w:pPr>
        <w:ind w:left="1716" w:hanging="420"/>
      </w:pPr>
    </w:lvl>
    <w:lvl w:ilvl="3" w:tentative="0">
      <w:start w:val="1"/>
      <w:numFmt w:val="decimal"/>
      <w:lvlText w:val="%4."/>
      <w:lvlJc w:val="left"/>
      <w:pPr>
        <w:ind w:left="2136" w:hanging="420"/>
      </w:pPr>
    </w:lvl>
    <w:lvl w:ilvl="4" w:tentative="0">
      <w:start w:val="1"/>
      <w:numFmt w:val="lowerLetter"/>
      <w:lvlText w:val="%5)"/>
      <w:lvlJc w:val="left"/>
      <w:pPr>
        <w:ind w:left="2556" w:hanging="420"/>
      </w:pPr>
    </w:lvl>
    <w:lvl w:ilvl="5" w:tentative="0">
      <w:start w:val="1"/>
      <w:numFmt w:val="lowerRoman"/>
      <w:lvlText w:val="%6."/>
      <w:lvlJc w:val="right"/>
      <w:pPr>
        <w:ind w:left="2976" w:hanging="420"/>
      </w:pPr>
    </w:lvl>
    <w:lvl w:ilvl="6" w:tentative="0">
      <w:start w:val="1"/>
      <w:numFmt w:val="decimal"/>
      <w:lvlText w:val="%7."/>
      <w:lvlJc w:val="left"/>
      <w:pPr>
        <w:ind w:left="3396" w:hanging="420"/>
      </w:pPr>
    </w:lvl>
    <w:lvl w:ilvl="7" w:tentative="0">
      <w:start w:val="1"/>
      <w:numFmt w:val="lowerLetter"/>
      <w:lvlText w:val="%8)"/>
      <w:lvlJc w:val="left"/>
      <w:pPr>
        <w:ind w:left="3816" w:hanging="420"/>
      </w:pPr>
    </w:lvl>
    <w:lvl w:ilvl="8" w:tentative="0">
      <w:start w:val="1"/>
      <w:numFmt w:val="lowerRoman"/>
      <w:lvlText w:val="%9."/>
      <w:lvlJc w:val="right"/>
      <w:pPr>
        <w:ind w:left="423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JiNWVjZjllNmNmNGVmZjg0MjA2YTkzMTIwODZmMzYifQ=="/>
    <w:docVar w:name="KSO_WPS_MARK_KEY" w:val="3d3849f0-7c2c-48f8-bbf6-868007934d70"/>
  </w:docVars>
  <w:rsids>
    <w:rsidRoot w:val="00A01EC2"/>
    <w:rsid w:val="0000201F"/>
    <w:rsid w:val="00007DA9"/>
    <w:rsid w:val="00021839"/>
    <w:rsid w:val="000244FA"/>
    <w:rsid w:val="00026F7D"/>
    <w:rsid w:val="000277E3"/>
    <w:rsid w:val="00031C83"/>
    <w:rsid w:val="00034C41"/>
    <w:rsid w:val="00034D2C"/>
    <w:rsid w:val="00037CFB"/>
    <w:rsid w:val="00042C82"/>
    <w:rsid w:val="00043A27"/>
    <w:rsid w:val="00043EF4"/>
    <w:rsid w:val="00046FFD"/>
    <w:rsid w:val="00047551"/>
    <w:rsid w:val="00047C26"/>
    <w:rsid w:val="00052FA4"/>
    <w:rsid w:val="00070E19"/>
    <w:rsid w:val="000712F9"/>
    <w:rsid w:val="00081106"/>
    <w:rsid w:val="00084B7A"/>
    <w:rsid w:val="00090646"/>
    <w:rsid w:val="00096632"/>
    <w:rsid w:val="00097F97"/>
    <w:rsid w:val="000A1CE2"/>
    <w:rsid w:val="000B1137"/>
    <w:rsid w:val="000B2048"/>
    <w:rsid w:val="000B5184"/>
    <w:rsid w:val="000D2F71"/>
    <w:rsid w:val="000D522F"/>
    <w:rsid w:val="000D5A91"/>
    <w:rsid w:val="000D67B2"/>
    <w:rsid w:val="000D73B0"/>
    <w:rsid w:val="000D749D"/>
    <w:rsid w:val="000D7CBF"/>
    <w:rsid w:val="000E5962"/>
    <w:rsid w:val="000F1193"/>
    <w:rsid w:val="000F5CD4"/>
    <w:rsid w:val="001131B4"/>
    <w:rsid w:val="001175AD"/>
    <w:rsid w:val="00120387"/>
    <w:rsid w:val="00134257"/>
    <w:rsid w:val="001377B2"/>
    <w:rsid w:val="00141647"/>
    <w:rsid w:val="00156040"/>
    <w:rsid w:val="001579B0"/>
    <w:rsid w:val="00161191"/>
    <w:rsid w:val="0016258D"/>
    <w:rsid w:val="00165EBE"/>
    <w:rsid w:val="00172151"/>
    <w:rsid w:val="0018011C"/>
    <w:rsid w:val="001832DB"/>
    <w:rsid w:val="00195B3D"/>
    <w:rsid w:val="001B037A"/>
    <w:rsid w:val="001B0F04"/>
    <w:rsid w:val="001B2564"/>
    <w:rsid w:val="001B4D1D"/>
    <w:rsid w:val="001C18B4"/>
    <w:rsid w:val="001C7694"/>
    <w:rsid w:val="001F4E6B"/>
    <w:rsid w:val="00204D5B"/>
    <w:rsid w:val="0020790E"/>
    <w:rsid w:val="00210B93"/>
    <w:rsid w:val="00211BF2"/>
    <w:rsid w:val="00216323"/>
    <w:rsid w:val="002219D8"/>
    <w:rsid w:val="002255A4"/>
    <w:rsid w:val="00225FD9"/>
    <w:rsid w:val="0024131C"/>
    <w:rsid w:val="00241E44"/>
    <w:rsid w:val="00252DB3"/>
    <w:rsid w:val="00257047"/>
    <w:rsid w:val="002573E4"/>
    <w:rsid w:val="0026056C"/>
    <w:rsid w:val="00284A72"/>
    <w:rsid w:val="00293396"/>
    <w:rsid w:val="0029438B"/>
    <w:rsid w:val="002969C2"/>
    <w:rsid w:val="002C48D3"/>
    <w:rsid w:val="002C4A67"/>
    <w:rsid w:val="002D68EE"/>
    <w:rsid w:val="002F1471"/>
    <w:rsid w:val="002F573F"/>
    <w:rsid w:val="00300FE9"/>
    <w:rsid w:val="003042F9"/>
    <w:rsid w:val="003055FF"/>
    <w:rsid w:val="00317D1F"/>
    <w:rsid w:val="0032118F"/>
    <w:rsid w:val="00322692"/>
    <w:rsid w:val="00333FB7"/>
    <w:rsid w:val="0033638E"/>
    <w:rsid w:val="00341072"/>
    <w:rsid w:val="0035505D"/>
    <w:rsid w:val="003617E4"/>
    <w:rsid w:val="00370F68"/>
    <w:rsid w:val="003821AA"/>
    <w:rsid w:val="003831B2"/>
    <w:rsid w:val="0039064E"/>
    <w:rsid w:val="00391F4C"/>
    <w:rsid w:val="0039589A"/>
    <w:rsid w:val="00397AC4"/>
    <w:rsid w:val="003A2103"/>
    <w:rsid w:val="003A47B7"/>
    <w:rsid w:val="003A48B1"/>
    <w:rsid w:val="003A4B42"/>
    <w:rsid w:val="003A5247"/>
    <w:rsid w:val="003B67CC"/>
    <w:rsid w:val="003B6FB0"/>
    <w:rsid w:val="003C61EA"/>
    <w:rsid w:val="003D1ACC"/>
    <w:rsid w:val="003D2311"/>
    <w:rsid w:val="003D4130"/>
    <w:rsid w:val="003E302F"/>
    <w:rsid w:val="003F1F16"/>
    <w:rsid w:val="003F3AF3"/>
    <w:rsid w:val="00402034"/>
    <w:rsid w:val="004137B6"/>
    <w:rsid w:val="00422A05"/>
    <w:rsid w:val="004232A2"/>
    <w:rsid w:val="00434345"/>
    <w:rsid w:val="00434D20"/>
    <w:rsid w:val="00435709"/>
    <w:rsid w:val="004416B9"/>
    <w:rsid w:val="00446956"/>
    <w:rsid w:val="004500E3"/>
    <w:rsid w:val="00462AA4"/>
    <w:rsid w:val="0047447D"/>
    <w:rsid w:val="00476205"/>
    <w:rsid w:val="00482345"/>
    <w:rsid w:val="00487832"/>
    <w:rsid w:val="004978C0"/>
    <w:rsid w:val="004A29B9"/>
    <w:rsid w:val="004A5D53"/>
    <w:rsid w:val="004B61DE"/>
    <w:rsid w:val="004C21F5"/>
    <w:rsid w:val="004C6D6A"/>
    <w:rsid w:val="004C74C4"/>
    <w:rsid w:val="004D3F8F"/>
    <w:rsid w:val="004D6669"/>
    <w:rsid w:val="004E3C06"/>
    <w:rsid w:val="004F4D98"/>
    <w:rsid w:val="00500FC7"/>
    <w:rsid w:val="00501CFC"/>
    <w:rsid w:val="005067D6"/>
    <w:rsid w:val="005301EE"/>
    <w:rsid w:val="00534FE1"/>
    <w:rsid w:val="00544941"/>
    <w:rsid w:val="005471F3"/>
    <w:rsid w:val="0055176E"/>
    <w:rsid w:val="0055376E"/>
    <w:rsid w:val="00560F1E"/>
    <w:rsid w:val="00565C5D"/>
    <w:rsid w:val="0056743F"/>
    <w:rsid w:val="00576774"/>
    <w:rsid w:val="005817F6"/>
    <w:rsid w:val="0058242B"/>
    <w:rsid w:val="00583397"/>
    <w:rsid w:val="00585299"/>
    <w:rsid w:val="00585A85"/>
    <w:rsid w:val="00586AFE"/>
    <w:rsid w:val="00592F75"/>
    <w:rsid w:val="00595876"/>
    <w:rsid w:val="005A65D9"/>
    <w:rsid w:val="005B1224"/>
    <w:rsid w:val="005B44A3"/>
    <w:rsid w:val="005B555C"/>
    <w:rsid w:val="005C4B87"/>
    <w:rsid w:val="005C7E9C"/>
    <w:rsid w:val="005D7AF2"/>
    <w:rsid w:val="005F21A6"/>
    <w:rsid w:val="00601F97"/>
    <w:rsid w:val="0060336A"/>
    <w:rsid w:val="00603C24"/>
    <w:rsid w:val="00603DFB"/>
    <w:rsid w:val="006045A1"/>
    <w:rsid w:val="006137F6"/>
    <w:rsid w:val="00616526"/>
    <w:rsid w:val="006166E6"/>
    <w:rsid w:val="00622166"/>
    <w:rsid w:val="006255B8"/>
    <w:rsid w:val="00631676"/>
    <w:rsid w:val="00642E59"/>
    <w:rsid w:val="0064315C"/>
    <w:rsid w:val="00651A77"/>
    <w:rsid w:val="00656336"/>
    <w:rsid w:val="00656D8D"/>
    <w:rsid w:val="00657577"/>
    <w:rsid w:val="0066177A"/>
    <w:rsid w:val="00697720"/>
    <w:rsid w:val="006A0E52"/>
    <w:rsid w:val="006A2374"/>
    <w:rsid w:val="006A363B"/>
    <w:rsid w:val="006A3AE0"/>
    <w:rsid w:val="006C7B57"/>
    <w:rsid w:val="006D745E"/>
    <w:rsid w:val="006E1361"/>
    <w:rsid w:val="006E2251"/>
    <w:rsid w:val="006E70A8"/>
    <w:rsid w:val="006E7C0E"/>
    <w:rsid w:val="006F4E96"/>
    <w:rsid w:val="006F68B5"/>
    <w:rsid w:val="00702ACB"/>
    <w:rsid w:val="007074EA"/>
    <w:rsid w:val="00725F84"/>
    <w:rsid w:val="00740F1C"/>
    <w:rsid w:val="00743A20"/>
    <w:rsid w:val="00743D5F"/>
    <w:rsid w:val="007624FF"/>
    <w:rsid w:val="00766F42"/>
    <w:rsid w:val="0077058A"/>
    <w:rsid w:val="00773EA6"/>
    <w:rsid w:val="00774D5E"/>
    <w:rsid w:val="007827EE"/>
    <w:rsid w:val="00791C40"/>
    <w:rsid w:val="00795A7D"/>
    <w:rsid w:val="00796275"/>
    <w:rsid w:val="007A1E50"/>
    <w:rsid w:val="007A6E70"/>
    <w:rsid w:val="007B5BA5"/>
    <w:rsid w:val="007D01C8"/>
    <w:rsid w:val="007D07AF"/>
    <w:rsid w:val="007D310A"/>
    <w:rsid w:val="007D3B2D"/>
    <w:rsid w:val="007D6B66"/>
    <w:rsid w:val="007E11CC"/>
    <w:rsid w:val="007E5B37"/>
    <w:rsid w:val="007E7502"/>
    <w:rsid w:val="007F0C83"/>
    <w:rsid w:val="007F67C6"/>
    <w:rsid w:val="00803725"/>
    <w:rsid w:val="00810470"/>
    <w:rsid w:val="008117D8"/>
    <w:rsid w:val="00821BCF"/>
    <w:rsid w:val="0082551E"/>
    <w:rsid w:val="00836AD4"/>
    <w:rsid w:val="00850E8D"/>
    <w:rsid w:val="0085657D"/>
    <w:rsid w:val="00857E09"/>
    <w:rsid w:val="00860092"/>
    <w:rsid w:val="0086520E"/>
    <w:rsid w:val="008723F8"/>
    <w:rsid w:val="008731AE"/>
    <w:rsid w:val="008768FF"/>
    <w:rsid w:val="00876B2A"/>
    <w:rsid w:val="00876E4A"/>
    <w:rsid w:val="008804FD"/>
    <w:rsid w:val="00886663"/>
    <w:rsid w:val="008901FC"/>
    <w:rsid w:val="00891A00"/>
    <w:rsid w:val="00894F8D"/>
    <w:rsid w:val="00895AB6"/>
    <w:rsid w:val="00896130"/>
    <w:rsid w:val="008A264E"/>
    <w:rsid w:val="008A2C68"/>
    <w:rsid w:val="008A438C"/>
    <w:rsid w:val="008A4D16"/>
    <w:rsid w:val="008B0979"/>
    <w:rsid w:val="008B29C0"/>
    <w:rsid w:val="008B2B22"/>
    <w:rsid w:val="008B4A32"/>
    <w:rsid w:val="008B66F8"/>
    <w:rsid w:val="008B73C1"/>
    <w:rsid w:val="008E6819"/>
    <w:rsid w:val="008F4F99"/>
    <w:rsid w:val="00901893"/>
    <w:rsid w:val="009020CB"/>
    <w:rsid w:val="00910CCA"/>
    <w:rsid w:val="009124A0"/>
    <w:rsid w:val="009129F9"/>
    <w:rsid w:val="00912B9A"/>
    <w:rsid w:val="009250BD"/>
    <w:rsid w:val="00925C8E"/>
    <w:rsid w:val="009339FF"/>
    <w:rsid w:val="0093521B"/>
    <w:rsid w:val="00942C38"/>
    <w:rsid w:val="00946D43"/>
    <w:rsid w:val="00950164"/>
    <w:rsid w:val="00950B05"/>
    <w:rsid w:val="00951C29"/>
    <w:rsid w:val="00951F96"/>
    <w:rsid w:val="00954707"/>
    <w:rsid w:val="00963FAD"/>
    <w:rsid w:val="00965840"/>
    <w:rsid w:val="00966562"/>
    <w:rsid w:val="00966F9B"/>
    <w:rsid w:val="0097055E"/>
    <w:rsid w:val="009732DC"/>
    <w:rsid w:val="00976808"/>
    <w:rsid w:val="00985726"/>
    <w:rsid w:val="009A74F5"/>
    <w:rsid w:val="009B5CED"/>
    <w:rsid w:val="009C4EF1"/>
    <w:rsid w:val="009D00E1"/>
    <w:rsid w:val="009D1410"/>
    <w:rsid w:val="009D37F8"/>
    <w:rsid w:val="009D4BF3"/>
    <w:rsid w:val="009F0ECE"/>
    <w:rsid w:val="00A01EC2"/>
    <w:rsid w:val="00A05069"/>
    <w:rsid w:val="00A11139"/>
    <w:rsid w:val="00A153FE"/>
    <w:rsid w:val="00A164E2"/>
    <w:rsid w:val="00A24CA4"/>
    <w:rsid w:val="00A27779"/>
    <w:rsid w:val="00A309B1"/>
    <w:rsid w:val="00A31E4E"/>
    <w:rsid w:val="00A36499"/>
    <w:rsid w:val="00A42AA0"/>
    <w:rsid w:val="00A42E6E"/>
    <w:rsid w:val="00A46138"/>
    <w:rsid w:val="00A55303"/>
    <w:rsid w:val="00A55565"/>
    <w:rsid w:val="00A56244"/>
    <w:rsid w:val="00A67298"/>
    <w:rsid w:val="00A73C4C"/>
    <w:rsid w:val="00A74514"/>
    <w:rsid w:val="00A758F4"/>
    <w:rsid w:val="00A83714"/>
    <w:rsid w:val="00A86325"/>
    <w:rsid w:val="00A91ABA"/>
    <w:rsid w:val="00AA33D6"/>
    <w:rsid w:val="00AA3DC9"/>
    <w:rsid w:val="00AA6B7D"/>
    <w:rsid w:val="00AB7154"/>
    <w:rsid w:val="00AC3467"/>
    <w:rsid w:val="00AD2786"/>
    <w:rsid w:val="00AD6707"/>
    <w:rsid w:val="00AE6BF7"/>
    <w:rsid w:val="00AF2A18"/>
    <w:rsid w:val="00AF3332"/>
    <w:rsid w:val="00B0236A"/>
    <w:rsid w:val="00B06087"/>
    <w:rsid w:val="00B168F0"/>
    <w:rsid w:val="00B17A50"/>
    <w:rsid w:val="00B21BD8"/>
    <w:rsid w:val="00B34A06"/>
    <w:rsid w:val="00B406D3"/>
    <w:rsid w:val="00B467E6"/>
    <w:rsid w:val="00B60961"/>
    <w:rsid w:val="00B62D28"/>
    <w:rsid w:val="00B729AA"/>
    <w:rsid w:val="00B8121A"/>
    <w:rsid w:val="00B84A86"/>
    <w:rsid w:val="00B94594"/>
    <w:rsid w:val="00B97709"/>
    <w:rsid w:val="00BB5E49"/>
    <w:rsid w:val="00BD2A93"/>
    <w:rsid w:val="00BD3B41"/>
    <w:rsid w:val="00BD4226"/>
    <w:rsid w:val="00BE060D"/>
    <w:rsid w:val="00BE3166"/>
    <w:rsid w:val="00BF0DAA"/>
    <w:rsid w:val="00BF291E"/>
    <w:rsid w:val="00BF6CF8"/>
    <w:rsid w:val="00BF73CB"/>
    <w:rsid w:val="00C17394"/>
    <w:rsid w:val="00C3038F"/>
    <w:rsid w:val="00C30690"/>
    <w:rsid w:val="00C3270F"/>
    <w:rsid w:val="00C333E0"/>
    <w:rsid w:val="00C34D4F"/>
    <w:rsid w:val="00C50A20"/>
    <w:rsid w:val="00C55A55"/>
    <w:rsid w:val="00C564EF"/>
    <w:rsid w:val="00C56E02"/>
    <w:rsid w:val="00C63719"/>
    <w:rsid w:val="00C72C65"/>
    <w:rsid w:val="00C74277"/>
    <w:rsid w:val="00C838CC"/>
    <w:rsid w:val="00C8546D"/>
    <w:rsid w:val="00C90A85"/>
    <w:rsid w:val="00C9347E"/>
    <w:rsid w:val="00C94184"/>
    <w:rsid w:val="00C94CFA"/>
    <w:rsid w:val="00CA4A3C"/>
    <w:rsid w:val="00CB3A2C"/>
    <w:rsid w:val="00CB6597"/>
    <w:rsid w:val="00CB659D"/>
    <w:rsid w:val="00CB6E89"/>
    <w:rsid w:val="00CD503D"/>
    <w:rsid w:val="00CD51A6"/>
    <w:rsid w:val="00CE1AC3"/>
    <w:rsid w:val="00CE1EE5"/>
    <w:rsid w:val="00CF320F"/>
    <w:rsid w:val="00CF4A69"/>
    <w:rsid w:val="00D012DC"/>
    <w:rsid w:val="00D014A3"/>
    <w:rsid w:val="00D03276"/>
    <w:rsid w:val="00D24FCB"/>
    <w:rsid w:val="00D27FE9"/>
    <w:rsid w:val="00D31671"/>
    <w:rsid w:val="00D37793"/>
    <w:rsid w:val="00D37EE1"/>
    <w:rsid w:val="00D40275"/>
    <w:rsid w:val="00D41D70"/>
    <w:rsid w:val="00D42240"/>
    <w:rsid w:val="00D50315"/>
    <w:rsid w:val="00D5139D"/>
    <w:rsid w:val="00D52A41"/>
    <w:rsid w:val="00D52EA5"/>
    <w:rsid w:val="00D548F5"/>
    <w:rsid w:val="00D61FC8"/>
    <w:rsid w:val="00D62F71"/>
    <w:rsid w:val="00D66B27"/>
    <w:rsid w:val="00D81F98"/>
    <w:rsid w:val="00D838AC"/>
    <w:rsid w:val="00D90879"/>
    <w:rsid w:val="00DA572B"/>
    <w:rsid w:val="00DA6531"/>
    <w:rsid w:val="00DB6A47"/>
    <w:rsid w:val="00DC0861"/>
    <w:rsid w:val="00DD2A51"/>
    <w:rsid w:val="00DF4749"/>
    <w:rsid w:val="00DF5F57"/>
    <w:rsid w:val="00E008E2"/>
    <w:rsid w:val="00E00FE0"/>
    <w:rsid w:val="00E03AA4"/>
    <w:rsid w:val="00E079DB"/>
    <w:rsid w:val="00E12B5B"/>
    <w:rsid w:val="00E14081"/>
    <w:rsid w:val="00E22344"/>
    <w:rsid w:val="00E32B01"/>
    <w:rsid w:val="00E35280"/>
    <w:rsid w:val="00E35565"/>
    <w:rsid w:val="00E41274"/>
    <w:rsid w:val="00E421CA"/>
    <w:rsid w:val="00E44EE9"/>
    <w:rsid w:val="00E475F5"/>
    <w:rsid w:val="00E61268"/>
    <w:rsid w:val="00E62041"/>
    <w:rsid w:val="00E6352E"/>
    <w:rsid w:val="00E664A8"/>
    <w:rsid w:val="00E80A14"/>
    <w:rsid w:val="00E82CAF"/>
    <w:rsid w:val="00EA51EA"/>
    <w:rsid w:val="00EC28AA"/>
    <w:rsid w:val="00EC3EDC"/>
    <w:rsid w:val="00EC7E93"/>
    <w:rsid w:val="00ED3865"/>
    <w:rsid w:val="00EE3565"/>
    <w:rsid w:val="00EE4F1F"/>
    <w:rsid w:val="00EE51F8"/>
    <w:rsid w:val="00EF3124"/>
    <w:rsid w:val="00EF4D60"/>
    <w:rsid w:val="00F06500"/>
    <w:rsid w:val="00F06E6F"/>
    <w:rsid w:val="00F116EB"/>
    <w:rsid w:val="00F14C49"/>
    <w:rsid w:val="00F17F38"/>
    <w:rsid w:val="00F274AB"/>
    <w:rsid w:val="00F3260E"/>
    <w:rsid w:val="00F33CE2"/>
    <w:rsid w:val="00F43511"/>
    <w:rsid w:val="00F464CE"/>
    <w:rsid w:val="00F53413"/>
    <w:rsid w:val="00F553A5"/>
    <w:rsid w:val="00F56AE3"/>
    <w:rsid w:val="00F7642B"/>
    <w:rsid w:val="00F85047"/>
    <w:rsid w:val="00F86446"/>
    <w:rsid w:val="00F87D19"/>
    <w:rsid w:val="00F90D97"/>
    <w:rsid w:val="00F91DA6"/>
    <w:rsid w:val="00F954DC"/>
    <w:rsid w:val="00FA2BBD"/>
    <w:rsid w:val="00FA5E10"/>
    <w:rsid w:val="00FA7DEC"/>
    <w:rsid w:val="00FB4C06"/>
    <w:rsid w:val="00FC72CC"/>
    <w:rsid w:val="00FD0B56"/>
    <w:rsid w:val="00FD24A5"/>
    <w:rsid w:val="00FE3FE2"/>
    <w:rsid w:val="00FE4174"/>
    <w:rsid w:val="00FF110D"/>
    <w:rsid w:val="00FF57BA"/>
    <w:rsid w:val="0581148C"/>
    <w:rsid w:val="05995BC0"/>
    <w:rsid w:val="05D87C9F"/>
    <w:rsid w:val="0A530F50"/>
    <w:rsid w:val="0AEC1FD8"/>
    <w:rsid w:val="0B3B5EDF"/>
    <w:rsid w:val="0B9F648D"/>
    <w:rsid w:val="0EF53B19"/>
    <w:rsid w:val="11092F97"/>
    <w:rsid w:val="11A7433A"/>
    <w:rsid w:val="125A5658"/>
    <w:rsid w:val="13C96372"/>
    <w:rsid w:val="165B2413"/>
    <w:rsid w:val="17363A84"/>
    <w:rsid w:val="179C03F1"/>
    <w:rsid w:val="2207767C"/>
    <w:rsid w:val="23720B1C"/>
    <w:rsid w:val="238C3BE5"/>
    <w:rsid w:val="27FF527B"/>
    <w:rsid w:val="2C62200E"/>
    <w:rsid w:val="2C8E1BF6"/>
    <w:rsid w:val="2DD948FB"/>
    <w:rsid w:val="2EE7768E"/>
    <w:rsid w:val="37EB7469"/>
    <w:rsid w:val="381C15AF"/>
    <w:rsid w:val="3A2505C4"/>
    <w:rsid w:val="4009406B"/>
    <w:rsid w:val="441C3B4A"/>
    <w:rsid w:val="47A13D16"/>
    <w:rsid w:val="4ABD05C5"/>
    <w:rsid w:val="4BAE50CB"/>
    <w:rsid w:val="51D11BAA"/>
    <w:rsid w:val="5DC1384C"/>
    <w:rsid w:val="63182F01"/>
    <w:rsid w:val="694110E9"/>
    <w:rsid w:val="6C03277C"/>
    <w:rsid w:val="7286694E"/>
    <w:rsid w:val="73F17968"/>
    <w:rsid w:val="74F35268"/>
    <w:rsid w:val="794E5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outlineLvl w:val="0"/>
    </w:pPr>
    <w:rPr>
      <w:rFonts w:ascii="Times New Roman" w:hAnsi="Times New Roman" w:eastAsia="宋体"/>
      <w:b/>
      <w:bCs/>
      <w:kern w:val="44"/>
      <w:sz w:val="2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7"/>
    <w:semiHidden/>
    <w:unhideWhenUsed/>
    <w:qFormat/>
    <w:uiPriority w:val="99"/>
    <w:rPr>
      <w:rFonts w:ascii="宋体" w:eastAsia="宋体"/>
      <w:sz w:val="18"/>
      <w:szCs w:val="18"/>
    </w:rPr>
  </w:style>
  <w:style w:type="paragraph" w:styleId="5">
    <w:name w:val="Balloon Text"/>
    <w:basedOn w:val="1"/>
    <w:link w:val="16"/>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jc w:val="left"/>
    </w:pPr>
    <w:rPr>
      <w:rFonts w:cs="Times New Roman"/>
      <w:kern w:val="0"/>
      <w:sz w:val="24"/>
    </w:rPr>
  </w:style>
  <w:style w:type="paragraph" w:styleId="9">
    <w:name w:val="Title"/>
    <w:basedOn w:val="1"/>
    <w:next w:val="1"/>
    <w:link w:val="21"/>
    <w:qFormat/>
    <w:uiPriority w:val="1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FollowedHyperlink"/>
    <w:basedOn w:val="12"/>
    <w:unhideWhenUsed/>
    <w:qFormat/>
    <w:uiPriority w:val="99"/>
    <w:rPr>
      <w:color w:val="800080"/>
      <w:u w:val="none"/>
    </w:rPr>
  </w:style>
  <w:style w:type="character" w:styleId="15">
    <w:name w:val="Hyperlink"/>
    <w:basedOn w:val="12"/>
    <w:unhideWhenUsed/>
    <w:qFormat/>
    <w:uiPriority w:val="99"/>
    <w:rPr>
      <w:color w:val="0000FF"/>
      <w:u w:val="none"/>
    </w:rPr>
  </w:style>
  <w:style w:type="character" w:customStyle="1" w:styleId="16">
    <w:name w:val="批注框文本 字符"/>
    <w:basedOn w:val="12"/>
    <w:link w:val="5"/>
    <w:semiHidden/>
    <w:qFormat/>
    <w:uiPriority w:val="99"/>
    <w:rPr>
      <w:sz w:val="18"/>
      <w:szCs w:val="18"/>
    </w:rPr>
  </w:style>
  <w:style w:type="paragraph" w:customStyle="1" w:styleId="17">
    <w:name w:val="列出段落1"/>
    <w:basedOn w:val="1"/>
    <w:qFormat/>
    <w:uiPriority w:val="34"/>
    <w:pPr>
      <w:ind w:firstLine="420" w:firstLineChars="200"/>
    </w:pPr>
  </w:style>
  <w:style w:type="character" w:customStyle="1" w:styleId="18">
    <w:name w:val="页眉 字符"/>
    <w:basedOn w:val="12"/>
    <w:link w:val="7"/>
    <w:semiHidden/>
    <w:qFormat/>
    <w:uiPriority w:val="99"/>
    <w:rPr>
      <w:sz w:val="18"/>
      <w:szCs w:val="18"/>
    </w:rPr>
  </w:style>
  <w:style w:type="character" w:customStyle="1" w:styleId="19">
    <w:name w:val="页脚 字符"/>
    <w:basedOn w:val="12"/>
    <w:link w:val="6"/>
    <w:semiHidden/>
    <w:qFormat/>
    <w:uiPriority w:val="99"/>
    <w:rPr>
      <w:sz w:val="18"/>
      <w:szCs w:val="18"/>
    </w:rPr>
  </w:style>
  <w:style w:type="character" w:customStyle="1" w:styleId="20">
    <w:name w:val="标题 1 字符"/>
    <w:basedOn w:val="12"/>
    <w:link w:val="2"/>
    <w:qFormat/>
    <w:uiPriority w:val="9"/>
    <w:rPr>
      <w:rFonts w:cstheme="minorBidi"/>
      <w:b/>
      <w:bCs/>
      <w:kern w:val="44"/>
      <w:sz w:val="24"/>
      <w:szCs w:val="44"/>
    </w:rPr>
  </w:style>
  <w:style w:type="character" w:customStyle="1" w:styleId="21">
    <w:name w:val="标题 字符"/>
    <w:basedOn w:val="12"/>
    <w:link w:val="9"/>
    <w:qFormat/>
    <w:uiPriority w:val="10"/>
    <w:rPr>
      <w:rFonts w:eastAsia="宋体" w:asciiTheme="majorHAnsi" w:hAnsiTheme="majorHAnsi" w:cstheme="majorBidi"/>
      <w:b/>
      <w:bCs/>
      <w:kern w:val="2"/>
      <w:sz w:val="32"/>
      <w:szCs w:val="32"/>
    </w:rPr>
  </w:style>
  <w:style w:type="paragraph" w:customStyle="1" w:styleId="22">
    <w:name w:val="列出段落2"/>
    <w:basedOn w:val="1"/>
    <w:qFormat/>
    <w:uiPriority w:val="99"/>
    <w:pPr>
      <w:ind w:firstLine="420" w:firstLineChars="200"/>
    </w:pPr>
  </w:style>
  <w:style w:type="paragraph" w:customStyle="1" w:styleId="23">
    <w:name w:val="2"/>
    <w:basedOn w:val="1"/>
    <w:next w:val="1"/>
    <w:qFormat/>
    <w:uiPriority w:val="0"/>
    <w:pPr>
      <w:pBdr>
        <w:bottom w:val="single" w:color="auto" w:sz="6" w:space="1"/>
      </w:pBdr>
      <w:jc w:val="center"/>
    </w:pPr>
    <w:rPr>
      <w:rFonts w:ascii="Arial" w:eastAsia="宋体"/>
      <w:vanish/>
      <w:sz w:val="16"/>
    </w:rPr>
  </w:style>
  <w:style w:type="paragraph" w:customStyle="1" w:styleId="24">
    <w:name w:val="1"/>
    <w:basedOn w:val="1"/>
    <w:next w:val="1"/>
    <w:qFormat/>
    <w:uiPriority w:val="0"/>
    <w:pPr>
      <w:pBdr>
        <w:top w:val="single" w:color="auto" w:sz="6" w:space="1"/>
      </w:pBdr>
      <w:jc w:val="center"/>
    </w:pPr>
    <w:rPr>
      <w:rFonts w:ascii="Arial" w:eastAsia="宋体"/>
      <w:vanish/>
      <w:sz w:val="16"/>
    </w:rPr>
  </w:style>
  <w:style w:type="paragraph" w:styleId="25">
    <w:name w:val="List Paragraph"/>
    <w:basedOn w:val="1"/>
    <w:qFormat/>
    <w:uiPriority w:val="34"/>
    <w:pPr>
      <w:ind w:firstLine="420" w:firstLineChars="200"/>
    </w:pPr>
  </w:style>
  <w:style w:type="character" w:customStyle="1" w:styleId="26">
    <w:name w:val="标题 2 字符"/>
    <w:basedOn w:val="12"/>
    <w:link w:val="3"/>
    <w:qFormat/>
    <w:uiPriority w:val="9"/>
    <w:rPr>
      <w:rFonts w:asciiTheme="majorHAnsi" w:hAnsiTheme="majorHAnsi" w:eastAsiaTheme="majorEastAsia" w:cstheme="majorBidi"/>
      <w:b/>
      <w:bCs/>
      <w:kern w:val="2"/>
      <w:sz w:val="32"/>
      <w:szCs w:val="32"/>
    </w:rPr>
  </w:style>
  <w:style w:type="character" w:customStyle="1" w:styleId="27">
    <w:name w:val="文档结构图 字符"/>
    <w:basedOn w:val="12"/>
    <w:link w:val="4"/>
    <w:semiHidden/>
    <w:qFormat/>
    <w:uiPriority w:val="99"/>
    <w:rPr>
      <w:rFonts w:ascii="宋体" w:hAnsiTheme="minorHAnsi" w:cstheme="minorBidi"/>
      <w:kern w:val="2"/>
      <w:sz w:val="18"/>
      <w:szCs w:val="18"/>
    </w:rPr>
  </w:style>
  <w:style w:type="table" w:customStyle="1" w:styleId="28">
    <w:name w:val="网格型1"/>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F5769-8535-4DE7-8F67-3B90B2436C7E}">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1997</Words>
  <Characters>2129</Characters>
  <Lines>18</Lines>
  <Paragraphs>5</Paragraphs>
  <TotalTime>0</TotalTime>
  <ScaleCrop>false</ScaleCrop>
  <LinksUpToDate>false</LinksUpToDate>
  <CharactersWithSpaces>2135</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2023-02-21T02:22:00Z</dcterms:created>
  <dc:creator>詹宇</dc:creator>
  <cp:lastModifiedBy>zyz</cp:lastModifiedBy>
  <cp:lastPrinted>2023-03-01T05:56:00Z</cp:lastPrinted>
  <dcterms:modified xsi:type="dcterms:W3CDTF">2023-04-06T02:09:12Z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2313DE9B601F4BB2A44E42D41C27B69E</vt:lpwstr>
  </property>
</Properties>
</file>