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ind w:firstLine="640" w:firstLineChars="200"/>
        <w:jc w:val="right"/>
        <w:rPr>
          <w:rFonts w:ascii="仿宋_GB2312" w:hAnsi="宋体" w:eastAsia="仿宋_GB2312" w:cs="宋体"/>
          <w:kern w:val="0"/>
          <w:sz w:val="32"/>
          <w:szCs w:val="32"/>
        </w:rPr>
      </w:pPr>
      <w:bookmarkStart w:id="0" w:name="_GoBack"/>
      <w:bookmarkEnd w:id="0"/>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4"/>
        <w:gridCol w:w="992"/>
        <w:gridCol w:w="1134"/>
        <w:gridCol w:w="3118"/>
        <w:gridCol w:w="1276"/>
        <w:gridCol w:w="851"/>
        <w:gridCol w:w="992"/>
        <w:gridCol w:w="1134"/>
        <w:gridCol w:w="992"/>
        <w:gridCol w:w="1559"/>
        <w:gridCol w:w="15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2" w:hRule="atLeast"/>
        </w:trPr>
        <w:tc>
          <w:tcPr>
            <w:tcW w:w="534" w:type="dxa"/>
            <w:vAlign w:val="center"/>
          </w:tcPr>
          <w:p>
            <w:pPr>
              <w:widowControl/>
              <w:jc w:val="center"/>
              <w:textAlignment w:val="center"/>
              <w:rPr>
                <w:rStyle w:val="7"/>
                <w:rFonts w:asciiTheme="majorEastAsia" w:hAnsiTheme="majorEastAsia" w:eastAsiaTheme="majorEastAsia" w:cstheme="majorEastAsia"/>
                <w:color w:val="000000"/>
                <w:sz w:val="32"/>
                <w:szCs w:val="32"/>
                <w:shd w:val="clear" w:color="auto" w:fill="FFFFFF"/>
              </w:rPr>
            </w:pPr>
            <w:r>
              <w:rPr>
                <w:rFonts w:hint="eastAsia" w:ascii="微软雅黑" w:hAnsi="微软雅黑" w:eastAsia="微软雅黑" w:cs="Arial"/>
                <w:color w:val="000000"/>
                <w:kern w:val="0"/>
                <w:sz w:val="28"/>
                <w:szCs w:val="28"/>
              </w:rPr>
              <w:br w:type="page"/>
            </w:r>
            <w:r>
              <w:rPr>
                <w:rFonts w:hint="eastAsia" w:asciiTheme="majorEastAsia" w:hAnsiTheme="majorEastAsia" w:eastAsiaTheme="majorEastAsia" w:cstheme="majorEastAsia"/>
                <w:b/>
                <w:bCs/>
                <w:color w:val="000000"/>
                <w:kern w:val="0"/>
                <w:sz w:val="24"/>
                <w:lang w:bidi="ar"/>
              </w:rPr>
              <w:t>序号</w:t>
            </w:r>
          </w:p>
        </w:tc>
        <w:tc>
          <w:tcPr>
            <w:tcW w:w="992" w:type="dxa"/>
            <w:vAlign w:val="center"/>
          </w:tcPr>
          <w:p>
            <w:pPr>
              <w:widowControl/>
              <w:jc w:val="center"/>
              <w:textAlignment w:val="center"/>
              <w:rPr>
                <w:rStyle w:val="7"/>
                <w:rFonts w:asciiTheme="majorEastAsia" w:hAnsiTheme="majorEastAsia" w:eastAsiaTheme="majorEastAsia" w:cstheme="majorEastAsia"/>
                <w:color w:val="000000"/>
                <w:sz w:val="32"/>
                <w:szCs w:val="32"/>
                <w:shd w:val="clear" w:color="auto" w:fill="FFFFFF"/>
              </w:rPr>
            </w:pPr>
            <w:r>
              <w:rPr>
                <w:rFonts w:hint="eastAsia" w:asciiTheme="majorEastAsia" w:hAnsiTheme="majorEastAsia" w:eastAsiaTheme="majorEastAsia" w:cstheme="majorEastAsia"/>
                <w:b/>
                <w:bCs/>
                <w:color w:val="000000"/>
                <w:kern w:val="0"/>
                <w:sz w:val="24"/>
                <w:lang w:bidi="ar"/>
              </w:rPr>
              <w:t>申报人</w:t>
            </w:r>
          </w:p>
        </w:tc>
        <w:tc>
          <w:tcPr>
            <w:tcW w:w="1134" w:type="dxa"/>
            <w:vAlign w:val="center"/>
          </w:tcPr>
          <w:p>
            <w:pPr>
              <w:widowControl/>
              <w:jc w:val="center"/>
              <w:textAlignment w:val="center"/>
              <w:rPr>
                <w:rStyle w:val="7"/>
                <w:rFonts w:asciiTheme="majorEastAsia" w:hAnsiTheme="majorEastAsia" w:eastAsiaTheme="majorEastAsia" w:cstheme="majorEastAsia"/>
                <w:color w:val="000000"/>
                <w:sz w:val="32"/>
                <w:szCs w:val="32"/>
                <w:shd w:val="clear" w:color="auto" w:fill="FFFFFF"/>
              </w:rPr>
            </w:pPr>
            <w:r>
              <w:rPr>
                <w:rFonts w:hint="eastAsia" w:asciiTheme="majorEastAsia" w:hAnsiTheme="majorEastAsia" w:eastAsiaTheme="majorEastAsia" w:cstheme="majorEastAsia"/>
                <w:b/>
                <w:bCs/>
                <w:color w:val="000000"/>
                <w:kern w:val="0"/>
                <w:sz w:val="24"/>
                <w:lang w:bidi="ar"/>
              </w:rPr>
              <w:t>组别</w:t>
            </w:r>
          </w:p>
        </w:tc>
        <w:tc>
          <w:tcPr>
            <w:tcW w:w="3118" w:type="dxa"/>
            <w:vAlign w:val="center"/>
          </w:tcPr>
          <w:p>
            <w:pPr>
              <w:widowControl/>
              <w:jc w:val="center"/>
              <w:textAlignment w:val="center"/>
              <w:rPr>
                <w:rStyle w:val="7"/>
                <w:rFonts w:asciiTheme="majorEastAsia" w:hAnsiTheme="majorEastAsia" w:eastAsiaTheme="majorEastAsia" w:cstheme="majorEastAsia"/>
                <w:color w:val="000000"/>
                <w:sz w:val="32"/>
                <w:szCs w:val="32"/>
                <w:shd w:val="clear" w:color="auto" w:fill="FFFFFF"/>
              </w:rPr>
            </w:pPr>
            <w:r>
              <w:rPr>
                <w:rFonts w:hint="eastAsia" w:asciiTheme="majorEastAsia" w:hAnsiTheme="majorEastAsia" w:eastAsiaTheme="majorEastAsia" w:cstheme="majorEastAsia"/>
                <w:b/>
                <w:bCs/>
                <w:color w:val="000000"/>
                <w:kern w:val="0"/>
                <w:sz w:val="24"/>
                <w:lang w:bidi="ar"/>
              </w:rPr>
              <w:t>作品名称</w:t>
            </w:r>
          </w:p>
        </w:tc>
        <w:tc>
          <w:tcPr>
            <w:tcW w:w="1276" w:type="dxa"/>
            <w:vAlign w:val="center"/>
          </w:tcPr>
          <w:p>
            <w:pPr>
              <w:widowControl/>
              <w:jc w:val="center"/>
              <w:textAlignment w:val="center"/>
              <w:rPr>
                <w:rStyle w:val="7"/>
                <w:rFonts w:asciiTheme="majorEastAsia" w:hAnsiTheme="majorEastAsia" w:eastAsiaTheme="majorEastAsia" w:cstheme="majorEastAsia"/>
                <w:color w:val="000000"/>
                <w:sz w:val="32"/>
                <w:szCs w:val="32"/>
                <w:shd w:val="clear" w:color="auto" w:fill="FFFFFF"/>
              </w:rPr>
            </w:pPr>
            <w:r>
              <w:rPr>
                <w:rFonts w:hint="eastAsia" w:asciiTheme="majorEastAsia" w:hAnsiTheme="majorEastAsia" w:eastAsiaTheme="majorEastAsia" w:cstheme="majorEastAsia"/>
                <w:b/>
                <w:bCs/>
                <w:color w:val="000000"/>
                <w:kern w:val="0"/>
                <w:sz w:val="24"/>
                <w:lang w:bidi="ar"/>
              </w:rPr>
              <w:t>作品形式</w:t>
            </w:r>
          </w:p>
        </w:tc>
        <w:tc>
          <w:tcPr>
            <w:tcW w:w="851" w:type="dxa"/>
            <w:vAlign w:val="center"/>
          </w:tcPr>
          <w:p>
            <w:pPr>
              <w:widowControl/>
              <w:jc w:val="center"/>
              <w:textAlignment w:val="center"/>
              <w:rPr>
                <w:rStyle w:val="7"/>
                <w:rFonts w:asciiTheme="majorEastAsia" w:hAnsiTheme="majorEastAsia" w:eastAsiaTheme="majorEastAsia" w:cstheme="majorEastAsia"/>
                <w:color w:val="000000"/>
                <w:sz w:val="32"/>
                <w:szCs w:val="32"/>
                <w:shd w:val="clear" w:color="auto" w:fill="FFFFFF"/>
              </w:rPr>
            </w:pPr>
            <w:r>
              <w:rPr>
                <w:rFonts w:hint="eastAsia" w:asciiTheme="majorEastAsia" w:hAnsiTheme="majorEastAsia" w:eastAsiaTheme="majorEastAsia" w:cstheme="majorEastAsia"/>
                <w:b/>
                <w:bCs/>
                <w:color w:val="000000"/>
                <w:kern w:val="0"/>
                <w:sz w:val="24"/>
                <w:lang w:bidi="ar"/>
              </w:rPr>
              <w:t>作品类别</w:t>
            </w:r>
          </w:p>
        </w:tc>
        <w:tc>
          <w:tcPr>
            <w:tcW w:w="992" w:type="dxa"/>
            <w:vAlign w:val="center"/>
          </w:tcPr>
          <w:p>
            <w:pPr>
              <w:widowControl/>
              <w:jc w:val="center"/>
              <w:textAlignment w:val="center"/>
              <w:rPr>
                <w:rStyle w:val="7"/>
                <w:rFonts w:asciiTheme="majorEastAsia" w:hAnsiTheme="majorEastAsia" w:eastAsiaTheme="majorEastAsia" w:cstheme="majorEastAsia"/>
                <w:color w:val="000000"/>
                <w:sz w:val="32"/>
                <w:szCs w:val="32"/>
                <w:shd w:val="clear" w:color="auto" w:fill="FFFFFF"/>
              </w:rPr>
            </w:pPr>
            <w:r>
              <w:rPr>
                <w:rFonts w:hint="eastAsia" w:asciiTheme="majorEastAsia" w:hAnsiTheme="majorEastAsia" w:eastAsiaTheme="majorEastAsia" w:cstheme="majorEastAsia"/>
                <w:b/>
                <w:bCs/>
                <w:color w:val="000000"/>
                <w:kern w:val="0"/>
                <w:sz w:val="24"/>
                <w:lang w:bidi="ar"/>
              </w:rPr>
              <w:t>指导教师</w:t>
            </w:r>
          </w:p>
        </w:tc>
        <w:tc>
          <w:tcPr>
            <w:tcW w:w="1134" w:type="dxa"/>
            <w:vAlign w:val="center"/>
          </w:tcPr>
          <w:p>
            <w:pPr>
              <w:widowControl/>
              <w:jc w:val="center"/>
              <w:textAlignment w:val="center"/>
              <w:rPr>
                <w:rStyle w:val="7"/>
                <w:rFonts w:asciiTheme="majorEastAsia" w:hAnsiTheme="majorEastAsia" w:eastAsiaTheme="majorEastAsia" w:cstheme="majorEastAsia"/>
                <w:color w:val="000000"/>
                <w:sz w:val="32"/>
                <w:szCs w:val="32"/>
                <w:shd w:val="clear" w:color="auto" w:fill="FFFFFF"/>
              </w:rPr>
            </w:pPr>
            <w:r>
              <w:rPr>
                <w:rFonts w:hint="eastAsia" w:asciiTheme="majorEastAsia" w:hAnsiTheme="majorEastAsia" w:eastAsiaTheme="majorEastAsia" w:cstheme="majorEastAsia"/>
                <w:b/>
                <w:bCs/>
                <w:color w:val="000000"/>
                <w:kern w:val="0"/>
                <w:sz w:val="24"/>
                <w:lang w:bidi="ar"/>
              </w:rPr>
              <w:t>学院</w:t>
            </w:r>
          </w:p>
        </w:tc>
        <w:tc>
          <w:tcPr>
            <w:tcW w:w="992" w:type="dxa"/>
            <w:vAlign w:val="center"/>
          </w:tcPr>
          <w:p>
            <w:pPr>
              <w:widowControl/>
              <w:jc w:val="center"/>
              <w:textAlignment w:val="center"/>
              <w:rPr>
                <w:rStyle w:val="7"/>
                <w:rFonts w:asciiTheme="majorEastAsia" w:hAnsiTheme="majorEastAsia" w:eastAsiaTheme="majorEastAsia" w:cstheme="majorEastAsia"/>
                <w:color w:val="000000"/>
                <w:sz w:val="32"/>
                <w:szCs w:val="32"/>
                <w:shd w:val="clear" w:color="auto" w:fill="FFFFFF"/>
              </w:rPr>
            </w:pPr>
            <w:r>
              <w:rPr>
                <w:rFonts w:hint="eastAsia" w:asciiTheme="majorEastAsia" w:hAnsiTheme="majorEastAsia" w:eastAsiaTheme="majorEastAsia" w:cstheme="majorEastAsia"/>
                <w:b/>
                <w:bCs/>
                <w:color w:val="000000"/>
                <w:kern w:val="0"/>
                <w:sz w:val="24"/>
                <w:lang w:bidi="ar"/>
              </w:rPr>
              <w:t>获奖级别</w:t>
            </w:r>
          </w:p>
        </w:tc>
        <w:tc>
          <w:tcPr>
            <w:tcW w:w="1559" w:type="dxa"/>
            <w:vAlign w:val="center"/>
          </w:tcPr>
          <w:p>
            <w:pPr>
              <w:widowControl/>
              <w:jc w:val="center"/>
              <w:textAlignment w:val="center"/>
              <w:rPr>
                <w:rStyle w:val="7"/>
                <w:rFonts w:asciiTheme="majorEastAsia" w:hAnsiTheme="majorEastAsia" w:eastAsiaTheme="majorEastAsia" w:cstheme="majorEastAsia"/>
                <w:color w:val="000000"/>
                <w:sz w:val="32"/>
                <w:szCs w:val="32"/>
                <w:shd w:val="clear" w:color="auto" w:fill="FFFFFF"/>
              </w:rPr>
            </w:pPr>
            <w:r>
              <w:rPr>
                <w:rFonts w:hint="eastAsia" w:asciiTheme="majorEastAsia" w:hAnsiTheme="majorEastAsia" w:eastAsiaTheme="majorEastAsia" w:cstheme="majorEastAsia"/>
                <w:b/>
                <w:bCs/>
                <w:color w:val="000000"/>
                <w:kern w:val="0"/>
                <w:sz w:val="24"/>
                <w:lang w:bidi="ar"/>
              </w:rPr>
              <w:t>是否推荐参加第五届北京市大学生节能节水低碳减排社会实践与科技竞赛</w:t>
            </w:r>
          </w:p>
        </w:tc>
        <w:tc>
          <w:tcPr>
            <w:tcW w:w="1592" w:type="dxa"/>
            <w:vAlign w:val="center"/>
          </w:tcPr>
          <w:p>
            <w:pPr>
              <w:widowControl/>
              <w:jc w:val="center"/>
              <w:textAlignment w:val="center"/>
              <w:rPr>
                <w:rStyle w:val="7"/>
                <w:rFonts w:asciiTheme="majorEastAsia" w:hAnsiTheme="majorEastAsia" w:eastAsiaTheme="majorEastAsia" w:cstheme="majorEastAsia"/>
                <w:color w:val="000000"/>
                <w:sz w:val="32"/>
                <w:szCs w:val="32"/>
                <w:shd w:val="clear" w:color="auto" w:fill="FFFFFF"/>
              </w:rPr>
            </w:pPr>
            <w:r>
              <w:rPr>
                <w:rFonts w:hint="eastAsia" w:asciiTheme="majorEastAsia" w:hAnsiTheme="majorEastAsia" w:eastAsiaTheme="majorEastAsia" w:cstheme="majorEastAsia"/>
                <w:b/>
                <w:bCs/>
                <w:color w:val="000000"/>
                <w:kern w:val="0"/>
                <w:sz w:val="24"/>
                <w:lang w:bidi="ar"/>
              </w:rPr>
              <w:t>是否推荐参加第十六届全国大学生节能减排社会实践与科技竞赛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1</w:t>
            </w:r>
          </w:p>
        </w:tc>
        <w:tc>
          <w:tcPr>
            <w:tcW w:w="992"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张凯童</w:t>
            </w:r>
          </w:p>
        </w:tc>
        <w:tc>
          <w:tcPr>
            <w:tcW w:w="1134"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本科生组</w:t>
            </w:r>
          </w:p>
        </w:tc>
        <w:tc>
          <w:tcPr>
            <w:tcW w:w="3118"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“碳中和矩阵”——基于不同步升降结构的垃圾分拣智能机器人</w:t>
            </w:r>
          </w:p>
        </w:tc>
        <w:tc>
          <w:tcPr>
            <w:tcW w:w="1276"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科技作品类</w:t>
            </w:r>
          </w:p>
        </w:tc>
        <w:tc>
          <w:tcPr>
            <w:tcW w:w="851"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环境类</w:t>
            </w:r>
          </w:p>
        </w:tc>
        <w:tc>
          <w:tcPr>
            <w:tcW w:w="992"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胡春鹤，徐向波</w:t>
            </w:r>
          </w:p>
        </w:tc>
        <w:tc>
          <w:tcPr>
            <w:tcW w:w="1134"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工学院</w:t>
            </w:r>
          </w:p>
        </w:tc>
        <w:tc>
          <w:tcPr>
            <w:tcW w:w="992"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特等奖</w:t>
            </w:r>
          </w:p>
        </w:tc>
        <w:tc>
          <w:tcPr>
            <w:tcW w:w="1559"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是</w:t>
            </w:r>
          </w:p>
        </w:tc>
        <w:tc>
          <w:tcPr>
            <w:tcW w:w="1592"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2</w:t>
            </w:r>
          </w:p>
        </w:tc>
        <w:tc>
          <w:tcPr>
            <w:tcW w:w="992"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杨果烨</w:t>
            </w:r>
          </w:p>
        </w:tc>
        <w:tc>
          <w:tcPr>
            <w:tcW w:w="1134"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本科生组</w:t>
            </w:r>
          </w:p>
        </w:tc>
        <w:tc>
          <w:tcPr>
            <w:tcW w:w="3118"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一种重力驱动的户外便携净水过滤器</w:t>
            </w:r>
          </w:p>
        </w:tc>
        <w:tc>
          <w:tcPr>
            <w:tcW w:w="1276"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科技作品类</w:t>
            </w:r>
          </w:p>
        </w:tc>
        <w:tc>
          <w:tcPr>
            <w:tcW w:w="851"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环境类</w:t>
            </w:r>
          </w:p>
        </w:tc>
        <w:tc>
          <w:tcPr>
            <w:tcW w:w="992"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陈瑀</w:t>
            </w:r>
          </w:p>
        </w:tc>
        <w:tc>
          <w:tcPr>
            <w:tcW w:w="1134"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环境学院</w:t>
            </w:r>
          </w:p>
        </w:tc>
        <w:tc>
          <w:tcPr>
            <w:tcW w:w="992"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特等奖</w:t>
            </w:r>
          </w:p>
        </w:tc>
        <w:tc>
          <w:tcPr>
            <w:tcW w:w="1559"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是</w:t>
            </w:r>
          </w:p>
        </w:tc>
        <w:tc>
          <w:tcPr>
            <w:tcW w:w="1592"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3</w:t>
            </w:r>
          </w:p>
        </w:tc>
        <w:tc>
          <w:tcPr>
            <w:tcW w:w="992"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王海荣</w:t>
            </w:r>
          </w:p>
        </w:tc>
        <w:tc>
          <w:tcPr>
            <w:tcW w:w="1134"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研究生组</w:t>
            </w:r>
          </w:p>
        </w:tc>
        <w:tc>
          <w:tcPr>
            <w:tcW w:w="3118"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生物质基可降解家用绿色低碳洗涤剂</w:t>
            </w:r>
          </w:p>
        </w:tc>
        <w:tc>
          <w:tcPr>
            <w:tcW w:w="1276"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科技作品类</w:t>
            </w:r>
          </w:p>
        </w:tc>
        <w:tc>
          <w:tcPr>
            <w:tcW w:w="851"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环境类</w:t>
            </w:r>
          </w:p>
        </w:tc>
        <w:tc>
          <w:tcPr>
            <w:tcW w:w="992"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郝翔，彭锋</w:t>
            </w:r>
          </w:p>
        </w:tc>
        <w:tc>
          <w:tcPr>
            <w:tcW w:w="1134"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材料学院</w:t>
            </w:r>
          </w:p>
        </w:tc>
        <w:tc>
          <w:tcPr>
            <w:tcW w:w="992"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一等奖</w:t>
            </w:r>
          </w:p>
        </w:tc>
        <w:tc>
          <w:tcPr>
            <w:tcW w:w="1559"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w:t>
            </w:r>
          </w:p>
        </w:tc>
        <w:tc>
          <w:tcPr>
            <w:tcW w:w="1592"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4</w:t>
            </w:r>
          </w:p>
        </w:tc>
        <w:tc>
          <w:tcPr>
            <w:tcW w:w="992"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赵苏骁</w:t>
            </w:r>
          </w:p>
        </w:tc>
        <w:tc>
          <w:tcPr>
            <w:tcW w:w="1134"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本科生组</w:t>
            </w:r>
          </w:p>
        </w:tc>
        <w:tc>
          <w:tcPr>
            <w:tcW w:w="3118"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基于双红外激光传感器的节能自控灯</w:t>
            </w:r>
          </w:p>
        </w:tc>
        <w:tc>
          <w:tcPr>
            <w:tcW w:w="1276"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科技作品类</w:t>
            </w:r>
          </w:p>
        </w:tc>
        <w:tc>
          <w:tcPr>
            <w:tcW w:w="851"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能源类</w:t>
            </w:r>
          </w:p>
        </w:tc>
        <w:tc>
          <w:tcPr>
            <w:tcW w:w="992"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王猛猛</w:t>
            </w:r>
          </w:p>
        </w:tc>
        <w:tc>
          <w:tcPr>
            <w:tcW w:w="1134"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工学院</w:t>
            </w:r>
          </w:p>
        </w:tc>
        <w:tc>
          <w:tcPr>
            <w:tcW w:w="992"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一等奖</w:t>
            </w:r>
          </w:p>
        </w:tc>
        <w:tc>
          <w:tcPr>
            <w:tcW w:w="1559"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是</w:t>
            </w:r>
          </w:p>
        </w:tc>
        <w:tc>
          <w:tcPr>
            <w:tcW w:w="1592"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5</w:t>
            </w:r>
          </w:p>
        </w:tc>
        <w:tc>
          <w:tcPr>
            <w:tcW w:w="992"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任骥雄</w:t>
            </w:r>
          </w:p>
        </w:tc>
        <w:tc>
          <w:tcPr>
            <w:tcW w:w="1134"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本科生组</w:t>
            </w:r>
          </w:p>
        </w:tc>
        <w:tc>
          <w:tcPr>
            <w:tcW w:w="3118"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采用低碳柔性控制策略的含锂电池与超级电容的混合储能系统</w:t>
            </w:r>
          </w:p>
        </w:tc>
        <w:tc>
          <w:tcPr>
            <w:tcW w:w="1276"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科技作品类</w:t>
            </w:r>
          </w:p>
        </w:tc>
        <w:tc>
          <w:tcPr>
            <w:tcW w:w="851"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能源类</w:t>
            </w:r>
          </w:p>
        </w:tc>
        <w:tc>
          <w:tcPr>
            <w:tcW w:w="992"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王贺</w:t>
            </w:r>
          </w:p>
        </w:tc>
        <w:tc>
          <w:tcPr>
            <w:tcW w:w="1134"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工学院</w:t>
            </w:r>
          </w:p>
        </w:tc>
        <w:tc>
          <w:tcPr>
            <w:tcW w:w="992"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一等奖</w:t>
            </w:r>
          </w:p>
        </w:tc>
        <w:tc>
          <w:tcPr>
            <w:tcW w:w="1559"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是</w:t>
            </w:r>
          </w:p>
        </w:tc>
        <w:tc>
          <w:tcPr>
            <w:tcW w:w="1592"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6</w:t>
            </w:r>
          </w:p>
        </w:tc>
        <w:tc>
          <w:tcPr>
            <w:tcW w:w="992"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樊皓</w:t>
            </w:r>
          </w:p>
        </w:tc>
        <w:tc>
          <w:tcPr>
            <w:tcW w:w="1134"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本科生组</w:t>
            </w:r>
          </w:p>
        </w:tc>
        <w:tc>
          <w:tcPr>
            <w:tcW w:w="3118"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凭“空”取水—基于海绵基材料的空气取水装置</w:t>
            </w:r>
          </w:p>
        </w:tc>
        <w:tc>
          <w:tcPr>
            <w:tcW w:w="1276"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科技作品类</w:t>
            </w:r>
          </w:p>
        </w:tc>
        <w:tc>
          <w:tcPr>
            <w:tcW w:w="851"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环境类</w:t>
            </w:r>
          </w:p>
        </w:tc>
        <w:tc>
          <w:tcPr>
            <w:tcW w:w="992"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王辉，于雯超</w:t>
            </w:r>
          </w:p>
        </w:tc>
        <w:tc>
          <w:tcPr>
            <w:tcW w:w="1134"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环境学院</w:t>
            </w:r>
          </w:p>
        </w:tc>
        <w:tc>
          <w:tcPr>
            <w:tcW w:w="992"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一等奖</w:t>
            </w:r>
          </w:p>
        </w:tc>
        <w:tc>
          <w:tcPr>
            <w:tcW w:w="1559"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是</w:t>
            </w:r>
          </w:p>
        </w:tc>
        <w:tc>
          <w:tcPr>
            <w:tcW w:w="1592"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7</w:t>
            </w:r>
          </w:p>
        </w:tc>
        <w:tc>
          <w:tcPr>
            <w:tcW w:w="992"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黄诗茹</w:t>
            </w:r>
          </w:p>
        </w:tc>
        <w:tc>
          <w:tcPr>
            <w:tcW w:w="1134"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本科生组</w:t>
            </w:r>
          </w:p>
        </w:tc>
        <w:tc>
          <w:tcPr>
            <w:tcW w:w="3118"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“盼绿染城关 绘清意盎然”——碳普惠目标下三城消费者对个人碳账户互联网交易平台的使用意愿及现状调查</w:t>
            </w:r>
          </w:p>
        </w:tc>
        <w:tc>
          <w:tcPr>
            <w:tcW w:w="1276"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社会实践调查报告类</w:t>
            </w:r>
          </w:p>
        </w:tc>
        <w:tc>
          <w:tcPr>
            <w:tcW w:w="851"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环境类</w:t>
            </w:r>
          </w:p>
        </w:tc>
        <w:tc>
          <w:tcPr>
            <w:tcW w:w="992"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张颖</w:t>
            </w:r>
          </w:p>
        </w:tc>
        <w:tc>
          <w:tcPr>
            <w:tcW w:w="1134"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经管学院</w:t>
            </w:r>
          </w:p>
        </w:tc>
        <w:tc>
          <w:tcPr>
            <w:tcW w:w="992"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二等奖</w:t>
            </w:r>
          </w:p>
        </w:tc>
        <w:tc>
          <w:tcPr>
            <w:tcW w:w="1559"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是</w:t>
            </w:r>
          </w:p>
        </w:tc>
        <w:tc>
          <w:tcPr>
            <w:tcW w:w="1592" w:type="dxa"/>
            <w:vAlign w:val="center"/>
          </w:tcPr>
          <w:p>
            <w:pPr>
              <w:widowControl/>
              <w:jc w:val="center"/>
              <w:textAlignment w:val="center"/>
              <w:rPr>
                <w:rStyle w:val="7"/>
                <w:rFonts w:asciiTheme="minorEastAsia" w:hAnsiTheme="minorEastAsia" w:cstheme="minorEastAsia"/>
                <w:color w:val="000000"/>
                <w:sz w:val="20"/>
                <w:szCs w:val="20"/>
                <w:shd w:val="clear" w:color="auto" w:fill="FFFFFF"/>
              </w:rPr>
            </w:pPr>
            <w:r>
              <w:rPr>
                <w:rFonts w:hint="eastAsia" w:asciiTheme="minorEastAsia" w:hAnsiTheme="minorEastAsia" w:cstheme="minorEastAsia"/>
                <w:color w:val="000000"/>
                <w:kern w:val="0"/>
                <w:sz w:val="20"/>
                <w:szCs w:val="20"/>
                <w:lang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8</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卢睿</w:t>
            </w:r>
          </w:p>
        </w:tc>
        <w:tc>
          <w:tcPr>
            <w:tcW w:w="11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本科生组</w:t>
            </w:r>
          </w:p>
        </w:tc>
        <w:tc>
          <w:tcPr>
            <w:tcW w:w="3118"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一种高含盐反渗透浓水制备的新型融雪剂</w:t>
            </w:r>
          </w:p>
        </w:tc>
        <w:tc>
          <w:tcPr>
            <w:tcW w:w="1276"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科技作品类</w:t>
            </w:r>
          </w:p>
        </w:tc>
        <w:tc>
          <w:tcPr>
            <w:tcW w:w="851"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环境类</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刘永泽</w:t>
            </w:r>
          </w:p>
        </w:tc>
        <w:tc>
          <w:tcPr>
            <w:tcW w:w="11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环境学院</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二等奖</w:t>
            </w:r>
          </w:p>
        </w:tc>
        <w:tc>
          <w:tcPr>
            <w:tcW w:w="1559"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是</w:t>
            </w:r>
          </w:p>
        </w:tc>
        <w:tc>
          <w:tcPr>
            <w:tcW w:w="15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9</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梁澄浩</w:t>
            </w:r>
          </w:p>
        </w:tc>
        <w:tc>
          <w:tcPr>
            <w:tcW w:w="11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本科生组</w:t>
            </w:r>
          </w:p>
        </w:tc>
        <w:tc>
          <w:tcPr>
            <w:tcW w:w="3118"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小型风补偿光追踪多维度集成互补能源捕捉器</w:t>
            </w:r>
          </w:p>
        </w:tc>
        <w:tc>
          <w:tcPr>
            <w:tcW w:w="1276"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科技作品类</w:t>
            </w:r>
          </w:p>
        </w:tc>
        <w:tc>
          <w:tcPr>
            <w:tcW w:w="851"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能源类</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王青春</w:t>
            </w:r>
          </w:p>
        </w:tc>
        <w:tc>
          <w:tcPr>
            <w:tcW w:w="11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工学院，水保学院</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二等奖</w:t>
            </w:r>
          </w:p>
        </w:tc>
        <w:tc>
          <w:tcPr>
            <w:tcW w:w="1559"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是</w:t>
            </w:r>
          </w:p>
        </w:tc>
        <w:tc>
          <w:tcPr>
            <w:tcW w:w="15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10</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秦琳琳</w:t>
            </w:r>
          </w:p>
        </w:tc>
        <w:tc>
          <w:tcPr>
            <w:tcW w:w="11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研究生组</w:t>
            </w:r>
          </w:p>
        </w:tc>
        <w:tc>
          <w:tcPr>
            <w:tcW w:w="3118" w:type="dxa"/>
            <w:vAlign w:val="center"/>
          </w:tcPr>
          <w:p>
            <w:pPr>
              <w:widowControl/>
              <w:jc w:val="center"/>
              <w:textAlignment w:val="center"/>
              <w:rPr>
                <w:rFonts w:asciiTheme="minorEastAsia" w:hAnsiTheme="minorEastAsia" w:cstheme="minorEastAsia"/>
                <w:color w:val="000000"/>
                <w:kern w:val="0"/>
                <w:sz w:val="20"/>
                <w:szCs w:val="20"/>
                <w:lang w:bidi="ar"/>
              </w:rPr>
            </w:pPr>
            <w:r>
              <w:fldChar w:fldCharType="begin"/>
            </w:r>
            <w:r>
              <w:instrText xml:space="preserve"> HYPERLINK "mailto:Gd-Co@N-CSs/NF阴极促进产能固碳的光合藻微生物燃料电池" </w:instrText>
            </w:r>
            <w:r>
              <w:fldChar w:fldCharType="separate"/>
            </w:r>
            <w:r>
              <w:rPr>
                <w:rStyle w:val="8"/>
                <w:rFonts w:hint="eastAsia" w:asciiTheme="minorEastAsia" w:hAnsiTheme="minorEastAsia" w:cstheme="minorEastAsia"/>
                <w:color w:val="auto"/>
                <w:sz w:val="20"/>
                <w:szCs w:val="20"/>
                <w:u w:val="none"/>
              </w:rPr>
              <w:t>Gd-Co@N-CSs/NF阴极促进产能固碳的光合藻微生物燃料电池</w:t>
            </w:r>
            <w:r>
              <w:rPr>
                <w:rStyle w:val="8"/>
                <w:rFonts w:hint="eastAsia" w:asciiTheme="minorEastAsia" w:hAnsiTheme="minorEastAsia" w:cstheme="minorEastAsia"/>
                <w:color w:val="auto"/>
                <w:sz w:val="20"/>
                <w:szCs w:val="20"/>
                <w:u w:val="none"/>
              </w:rPr>
              <w:fldChar w:fldCharType="end"/>
            </w:r>
          </w:p>
        </w:tc>
        <w:tc>
          <w:tcPr>
            <w:tcW w:w="1276"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科技作品类</w:t>
            </w:r>
          </w:p>
        </w:tc>
        <w:tc>
          <w:tcPr>
            <w:tcW w:w="851"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环境类</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梁文艳</w:t>
            </w:r>
          </w:p>
        </w:tc>
        <w:tc>
          <w:tcPr>
            <w:tcW w:w="11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环境学院</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二等奖</w:t>
            </w:r>
          </w:p>
        </w:tc>
        <w:tc>
          <w:tcPr>
            <w:tcW w:w="1559"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w:t>
            </w:r>
          </w:p>
        </w:tc>
        <w:tc>
          <w:tcPr>
            <w:tcW w:w="15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11</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李浩永</w:t>
            </w:r>
          </w:p>
        </w:tc>
        <w:tc>
          <w:tcPr>
            <w:tcW w:w="11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研究生组</w:t>
            </w:r>
          </w:p>
        </w:tc>
        <w:tc>
          <w:tcPr>
            <w:tcW w:w="3118"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超高电导率生物纳米线的培养及提取装置</w:t>
            </w:r>
          </w:p>
        </w:tc>
        <w:tc>
          <w:tcPr>
            <w:tcW w:w="1276"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科技作品类</w:t>
            </w:r>
          </w:p>
        </w:tc>
        <w:tc>
          <w:tcPr>
            <w:tcW w:w="851"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能源类</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党岩</w:t>
            </w:r>
          </w:p>
        </w:tc>
        <w:tc>
          <w:tcPr>
            <w:tcW w:w="11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环境学院</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二等奖</w:t>
            </w:r>
          </w:p>
        </w:tc>
        <w:tc>
          <w:tcPr>
            <w:tcW w:w="1559"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w:t>
            </w:r>
          </w:p>
        </w:tc>
        <w:tc>
          <w:tcPr>
            <w:tcW w:w="15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12</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何金洋</w:t>
            </w:r>
          </w:p>
        </w:tc>
        <w:tc>
          <w:tcPr>
            <w:tcW w:w="11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本科生组</w:t>
            </w:r>
          </w:p>
        </w:tc>
        <w:tc>
          <w:tcPr>
            <w:tcW w:w="3118"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水流发电多向感应节水龙头</w:t>
            </w:r>
          </w:p>
        </w:tc>
        <w:tc>
          <w:tcPr>
            <w:tcW w:w="1276"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科技作品类</w:t>
            </w:r>
          </w:p>
        </w:tc>
        <w:tc>
          <w:tcPr>
            <w:tcW w:w="851"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能源类</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肖爱平</w:t>
            </w:r>
          </w:p>
        </w:tc>
        <w:tc>
          <w:tcPr>
            <w:tcW w:w="11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工学院</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二等奖</w:t>
            </w:r>
          </w:p>
        </w:tc>
        <w:tc>
          <w:tcPr>
            <w:tcW w:w="1559"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是</w:t>
            </w:r>
          </w:p>
        </w:tc>
        <w:tc>
          <w:tcPr>
            <w:tcW w:w="15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13</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石涛</w:t>
            </w:r>
          </w:p>
        </w:tc>
        <w:tc>
          <w:tcPr>
            <w:tcW w:w="11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研究生组</w:t>
            </w:r>
          </w:p>
        </w:tc>
        <w:tc>
          <w:tcPr>
            <w:tcW w:w="3118"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“磷离尽致”——SA-FeOOH水凝胶球的原位控磷PRB技术</w:t>
            </w:r>
          </w:p>
        </w:tc>
        <w:tc>
          <w:tcPr>
            <w:tcW w:w="1276"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科技作品类</w:t>
            </w:r>
          </w:p>
        </w:tc>
        <w:tc>
          <w:tcPr>
            <w:tcW w:w="851"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环境类</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李若愚</w:t>
            </w:r>
          </w:p>
        </w:tc>
        <w:tc>
          <w:tcPr>
            <w:tcW w:w="11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环境学院</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二等奖</w:t>
            </w:r>
          </w:p>
        </w:tc>
        <w:tc>
          <w:tcPr>
            <w:tcW w:w="1559"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w:t>
            </w:r>
          </w:p>
        </w:tc>
        <w:tc>
          <w:tcPr>
            <w:tcW w:w="15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14</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王清谚</w:t>
            </w:r>
          </w:p>
        </w:tc>
        <w:tc>
          <w:tcPr>
            <w:tcW w:w="11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研究生组</w:t>
            </w:r>
          </w:p>
        </w:tc>
        <w:tc>
          <w:tcPr>
            <w:tcW w:w="3118"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“厨链璧合”—餐厨垃圾分级厌氧发酵链延长工艺</w:t>
            </w:r>
          </w:p>
        </w:tc>
        <w:tc>
          <w:tcPr>
            <w:tcW w:w="1276"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科技作品类</w:t>
            </w:r>
          </w:p>
        </w:tc>
        <w:tc>
          <w:tcPr>
            <w:tcW w:w="851"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能源类</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张盼月</w:t>
            </w:r>
          </w:p>
        </w:tc>
        <w:tc>
          <w:tcPr>
            <w:tcW w:w="11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环境学院</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三等奖</w:t>
            </w:r>
          </w:p>
        </w:tc>
        <w:tc>
          <w:tcPr>
            <w:tcW w:w="1559"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w:t>
            </w:r>
          </w:p>
        </w:tc>
        <w:tc>
          <w:tcPr>
            <w:tcW w:w="15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15</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杜思聪</w:t>
            </w:r>
          </w:p>
        </w:tc>
        <w:tc>
          <w:tcPr>
            <w:tcW w:w="11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研究生组</w:t>
            </w:r>
          </w:p>
        </w:tc>
        <w:tc>
          <w:tcPr>
            <w:tcW w:w="3118"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“缤纷水城，盈收磁情”——开发多功能磁性材料助力节能减排</w:t>
            </w:r>
          </w:p>
        </w:tc>
        <w:tc>
          <w:tcPr>
            <w:tcW w:w="1276"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科技作品类</w:t>
            </w:r>
          </w:p>
        </w:tc>
        <w:tc>
          <w:tcPr>
            <w:tcW w:w="851"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环境类</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梁文艳</w:t>
            </w:r>
          </w:p>
        </w:tc>
        <w:tc>
          <w:tcPr>
            <w:tcW w:w="11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环境学院</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三等奖</w:t>
            </w:r>
          </w:p>
        </w:tc>
        <w:tc>
          <w:tcPr>
            <w:tcW w:w="1559"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w:t>
            </w:r>
          </w:p>
        </w:tc>
        <w:tc>
          <w:tcPr>
            <w:tcW w:w="15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16</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陈佳豪</w:t>
            </w:r>
          </w:p>
        </w:tc>
        <w:tc>
          <w:tcPr>
            <w:tcW w:w="11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本科生组</w:t>
            </w:r>
          </w:p>
        </w:tc>
        <w:tc>
          <w:tcPr>
            <w:tcW w:w="3118"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基于摩擦纳米发电机原理的踩踏式发电机</w:t>
            </w:r>
          </w:p>
        </w:tc>
        <w:tc>
          <w:tcPr>
            <w:tcW w:w="1276"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科技作品类</w:t>
            </w:r>
          </w:p>
        </w:tc>
        <w:tc>
          <w:tcPr>
            <w:tcW w:w="851"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企业命题类</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梁浩</w:t>
            </w:r>
          </w:p>
        </w:tc>
        <w:tc>
          <w:tcPr>
            <w:tcW w:w="11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工学院</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三等奖</w:t>
            </w:r>
          </w:p>
        </w:tc>
        <w:tc>
          <w:tcPr>
            <w:tcW w:w="1559"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是</w:t>
            </w:r>
          </w:p>
        </w:tc>
        <w:tc>
          <w:tcPr>
            <w:tcW w:w="15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17</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刘天虎</w:t>
            </w:r>
          </w:p>
        </w:tc>
        <w:tc>
          <w:tcPr>
            <w:tcW w:w="11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本科生组</w:t>
            </w:r>
          </w:p>
        </w:tc>
        <w:tc>
          <w:tcPr>
            <w:tcW w:w="3118"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智能光储柔性并网系统</w:t>
            </w:r>
          </w:p>
        </w:tc>
        <w:tc>
          <w:tcPr>
            <w:tcW w:w="1276"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科技作品类</w:t>
            </w:r>
          </w:p>
        </w:tc>
        <w:tc>
          <w:tcPr>
            <w:tcW w:w="851"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企业命题类</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梁浩，于明</w:t>
            </w:r>
          </w:p>
        </w:tc>
        <w:tc>
          <w:tcPr>
            <w:tcW w:w="11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工学院</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三等奖</w:t>
            </w:r>
          </w:p>
        </w:tc>
        <w:tc>
          <w:tcPr>
            <w:tcW w:w="1559"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是</w:t>
            </w:r>
          </w:p>
        </w:tc>
        <w:tc>
          <w:tcPr>
            <w:tcW w:w="15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18</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刘梓欣</w:t>
            </w:r>
          </w:p>
        </w:tc>
        <w:tc>
          <w:tcPr>
            <w:tcW w:w="11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本科生组</w:t>
            </w:r>
          </w:p>
        </w:tc>
        <w:tc>
          <w:tcPr>
            <w:tcW w:w="3118"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大学生低碳意识与环保行为研究——以北京林业大学为例</w:t>
            </w:r>
          </w:p>
        </w:tc>
        <w:tc>
          <w:tcPr>
            <w:tcW w:w="1276"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社会实践调查报告类</w:t>
            </w:r>
          </w:p>
        </w:tc>
        <w:tc>
          <w:tcPr>
            <w:tcW w:w="851"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环境类</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张立秋</w:t>
            </w:r>
          </w:p>
        </w:tc>
        <w:tc>
          <w:tcPr>
            <w:tcW w:w="11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环境学院</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三等奖</w:t>
            </w:r>
          </w:p>
        </w:tc>
        <w:tc>
          <w:tcPr>
            <w:tcW w:w="1559"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是</w:t>
            </w:r>
          </w:p>
        </w:tc>
        <w:tc>
          <w:tcPr>
            <w:tcW w:w="15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19</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杨钧雯</w:t>
            </w:r>
          </w:p>
        </w:tc>
        <w:tc>
          <w:tcPr>
            <w:tcW w:w="11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本科生组</w:t>
            </w:r>
          </w:p>
        </w:tc>
        <w:tc>
          <w:tcPr>
            <w:tcW w:w="3118"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耦合反应实现CO</w:t>
            </w:r>
            <w:r>
              <w:rPr>
                <w:rStyle w:val="11"/>
                <w:rFonts w:asciiTheme="minorEastAsia" w:hAnsiTheme="minorEastAsia" w:eastAsiaTheme="minorEastAsia" w:cstheme="minorEastAsia"/>
                <w:sz w:val="20"/>
                <w:szCs w:val="20"/>
                <w:lang w:bidi="ar"/>
              </w:rPr>
              <w:t>2</w:t>
            </w:r>
            <w:r>
              <w:rPr>
                <w:rFonts w:hint="eastAsia" w:asciiTheme="minorEastAsia" w:hAnsiTheme="minorEastAsia" w:cstheme="minorEastAsia"/>
                <w:color w:val="000000"/>
                <w:kern w:val="0"/>
                <w:sz w:val="20"/>
                <w:szCs w:val="20"/>
                <w:lang w:bidi="ar"/>
              </w:rPr>
              <w:t>还原节能降本研究</w:t>
            </w:r>
          </w:p>
        </w:tc>
        <w:tc>
          <w:tcPr>
            <w:tcW w:w="1276"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科技作品类</w:t>
            </w:r>
          </w:p>
        </w:tc>
        <w:tc>
          <w:tcPr>
            <w:tcW w:w="851"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环境类</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谢文富</w:t>
            </w:r>
          </w:p>
        </w:tc>
        <w:tc>
          <w:tcPr>
            <w:tcW w:w="11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环境学院</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三等奖</w:t>
            </w:r>
          </w:p>
        </w:tc>
        <w:tc>
          <w:tcPr>
            <w:tcW w:w="1559"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是</w:t>
            </w:r>
          </w:p>
        </w:tc>
        <w:tc>
          <w:tcPr>
            <w:tcW w:w="15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20</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王雨</w:t>
            </w:r>
          </w:p>
        </w:tc>
        <w:tc>
          <w:tcPr>
            <w:tcW w:w="11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本科生组</w:t>
            </w:r>
          </w:p>
        </w:tc>
        <w:tc>
          <w:tcPr>
            <w:tcW w:w="3118"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“光”开“膜”路——一种保障高品质饮用水的UV—LED光催化陶瓷膜终端净水器</w:t>
            </w:r>
          </w:p>
        </w:tc>
        <w:tc>
          <w:tcPr>
            <w:tcW w:w="1276"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科技作品类</w:t>
            </w:r>
          </w:p>
        </w:tc>
        <w:tc>
          <w:tcPr>
            <w:tcW w:w="851"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环境类</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李晨，刘亚涛</w:t>
            </w:r>
          </w:p>
        </w:tc>
        <w:tc>
          <w:tcPr>
            <w:tcW w:w="11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环境学院</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三等奖</w:t>
            </w:r>
          </w:p>
        </w:tc>
        <w:tc>
          <w:tcPr>
            <w:tcW w:w="1559"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是</w:t>
            </w:r>
          </w:p>
        </w:tc>
        <w:tc>
          <w:tcPr>
            <w:tcW w:w="15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21</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阿苏娜</w:t>
            </w:r>
          </w:p>
        </w:tc>
        <w:tc>
          <w:tcPr>
            <w:tcW w:w="11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本科生组</w:t>
            </w:r>
          </w:p>
        </w:tc>
        <w:tc>
          <w:tcPr>
            <w:tcW w:w="3118"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厌氧发酵系统CO</w:t>
            </w:r>
            <w:r>
              <w:rPr>
                <w:rStyle w:val="12"/>
                <w:rFonts w:asciiTheme="minorEastAsia" w:hAnsiTheme="minorEastAsia" w:eastAsiaTheme="minorEastAsia" w:cstheme="minorEastAsia"/>
                <w:sz w:val="20"/>
                <w:szCs w:val="20"/>
                <w:lang w:bidi="ar"/>
              </w:rPr>
              <w:t>2</w:t>
            </w:r>
            <w:r>
              <w:rPr>
                <w:rFonts w:hint="eastAsia" w:asciiTheme="minorEastAsia" w:hAnsiTheme="minorEastAsia" w:cstheme="minorEastAsia"/>
                <w:color w:val="000000"/>
                <w:kern w:val="0"/>
                <w:sz w:val="20"/>
                <w:szCs w:val="20"/>
                <w:lang w:bidi="ar"/>
              </w:rPr>
              <w:t>固定的藻类光生物反应器</w:t>
            </w:r>
          </w:p>
        </w:tc>
        <w:tc>
          <w:tcPr>
            <w:tcW w:w="1276"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科技作品类</w:t>
            </w:r>
          </w:p>
        </w:tc>
        <w:tc>
          <w:tcPr>
            <w:tcW w:w="851"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环境类</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胡潜</w:t>
            </w:r>
          </w:p>
        </w:tc>
        <w:tc>
          <w:tcPr>
            <w:tcW w:w="11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环境学院</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三等奖</w:t>
            </w:r>
          </w:p>
        </w:tc>
        <w:tc>
          <w:tcPr>
            <w:tcW w:w="1559"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是</w:t>
            </w:r>
          </w:p>
        </w:tc>
        <w:tc>
          <w:tcPr>
            <w:tcW w:w="15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22</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王艺静</w:t>
            </w:r>
          </w:p>
        </w:tc>
        <w:tc>
          <w:tcPr>
            <w:tcW w:w="11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本科生组</w:t>
            </w:r>
          </w:p>
        </w:tc>
        <w:tc>
          <w:tcPr>
            <w:tcW w:w="3118"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节水惜源，饮食耗水知多少--膳食水足迹计算平台</w:t>
            </w:r>
          </w:p>
        </w:tc>
        <w:tc>
          <w:tcPr>
            <w:tcW w:w="1276"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科技作品类</w:t>
            </w:r>
          </w:p>
        </w:tc>
        <w:tc>
          <w:tcPr>
            <w:tcW w:w="851"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环境类</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黄凯</w:t>
            </w:r>
          </w:p>
        </w:tc>
        <w:tc>
          <w:tcPr>
            <w:tcW w:w="11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环境学院</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三等奖</w:t>
            </w:r>
          </w:p>
        </w:tc>
        <w:tc>
          <w:tcPr>
            <w:tcW w:w="1559"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是</w:t>
            </w:r>
          </w:p>
        </w:tc>
        <w:tc>
          <w:tcPr>
            <w:tcW w:w="15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23</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程果</w:t>
            </w:r>
          </w:p>
        </w:tc>
        <w:tc>
          <w:tcPr>
            <w:tcW w:w="11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本科生组</w:t>
            </w:r>
          </w:p>
        </w:tc>
        <w:tc>
          <w:tcPr>
            <w:tcW w:w="3118"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出谋划策—一种基于“一厂一测“的温室气体排放核算的技术服务</w:t>
            </w:r>
          </w:p>
        </w:tc>
        <w:tc>
          <w:tcPr>
            <w:tcW w:w="1276"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科技作品类</w:t>
            </w:r>
          </w:p>
        </w:tc>
        <w:tc>
          <w:tcPr>
            <w:tcW w:w="851"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环境类</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齐飞，王振北</w:t>
            </w:r>
          </w:p>
        </w:tc>
        <w:tc>
          <w:tcPr>
            <w:tcW w:w="1134"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环境学院</w:t>
            </w:r>
          </w:p>
        </w:tc>
        <w:tc>
          <w:tcPr>
            <w:tcW w:w="9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三等奖</w:t>
            </w:r>
          </w:p>
        </w:tc>
        <w:tc>
          <w:tcPr>
            <w:tcW w:w="1559"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是</w:t>
            </w:r>
          </w:p>
        </w:tc>
        <w:tc>
          <w:tcPr>
            <w:tcW w:w="1592" w:type="dxa"/>
            <w:vAlign w:val="center"/>
          </w:tcPr>
          <w:p>
            <w:pPr>
              <w:widowControl/>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w:t>
            </w:r>
          </w:p>
        </w:tc>
      </w:tr>
    </w:tbl>
    <w:p>
      <w:pPr>
        <w:rPr>
          <w:rStyle w:val="7"/>
          <w:rFonts w:ascii="黑体" w:hAnsi="黑体" w:eastAsia="黑体" w:cs="黑体"/>
          <w:color w:val="000000"/>
          <w:sz w:val="32"/>
          <w:szCs w:val="32"/>
          <w:shd w:val="clear" w:color="auto" w:fill="FFFFFF"/>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M3MTc2YjE3ODdkMTE5MmM3YzlhZjI4NGJhY2ZhZjUifQ=="/>
  </w:docVars>
  <w:rsids>
    <w:rsidRoot w:val="2C5B32AB"/>
    <w:rsid w:val="00117964"/>
    <w:rsid w:val="001F5801"/>
    <w:rsid w:val="00297AD3"/>
    <w:rsid w:val="087D0AB2"/>
    <w:rsid w:val="0915103F"/>
    <w:rsid w:val="0D262AA9"/>
    <w:rsid w:val="27195656"/>
    <w:rsid w:val="2C5B32AB"/>
    <w:rsid w:val="3F033CBD"/>
    <w:rsid w:val="42DE6D47"/>
    <w:rsid w:val="4B285981"/>
    <w:rsid w:val="72E905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4"/>
    <w:qFormat/>
    <w:uiPriority w:val="0"/>
    <w:pPr>
      <w:tabs>
        <w:tab w:val="center" w:pos="4153"/>
        <w:tab w:val="right" w:pos="8306"/>
      </w:tabs>
      <w:snapToGrid w:val="0"/>
      <w:jc w:val="left"/>
    </w:pPr>
    <w:rPr>
      <w:sz w:val="18"/>
      <w:szCs w:val="18"/>
    </w:rPr>
  </w:style>
  <w:style w:type="paragraph" w:styleId="3">
    <w:name w:val="header"/>
    <w:basedOn w:val="1"/>
    <w:link w:val="13"/>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 w:type="character" w:styleId="8">
    <w:name w:val="Hyperlink"/>
    <w:basedOn w:val="6"/>
    <w:qFormat/>
    <w:uiPriority w:val="0"/>
    <w:rPr>
      <w:color w:val="0000FF"/>
      <w:u w:val="single"/>
    </w:rPr>
  </w:style>
  <w:style w:type="character" w:customStyle="1" w:styleId="9">
    <w:name w:val="font11"/>
    <w:basedOn w:val="6"/>
    <w:uiPriority w:val="0"/>
    <w:rPr>
      <w:rFonts w:hint="eastAsia" w:ascii="微软雅黑" w:hAnsi="微软雅黑" w:eastAsia="微软雅黑" w:cs="微软雅黑"/>
      <w:color w:val="000000"/>
      <w:sz w:val="24"/>
      <w:szCs w:val="24"/>
      <w:u w:val="none"/>
    </w:rPr>
  </w:style>
  <w:style w:type="character" w:customStyle="1" w:styleId="10">
    <w:name w:val="font51"/>
    <w:basedOn w:val="6"/>
    <w:uiPriority w:val="0"/>
    <w:rPr>
      <w:rFonts w:hint="eastAsia" w:ascii="微软雅黑" w:hAnsi="微软雅黑" w:eastAsia="微软雅黑" w:cs="微软雅黑"/>
      <w:color w:val="000000"/>
      <w:sz w:val="24"/>
      <w:szCs w:val="24"/>
      <w:u w:val="none"/>
      <w:vertAlign w:val="subscript"/>
    </w:rPr>
  </w:style>
  <w:style w:type="character" w:customStyle="1" w:styleId="11">
    <w:name w:val="font31"/>
    <w:basedOn w:val="6"/>
    <w:uiPriority w:val="0"/>
    <w:rPr>
      <w:rFonts w:hint="eastAsia" w:ascii="微软雅黑" w:hAnsi="微软雅黑" w:eastAsia="微软雅黑" w:cs="微软雅黑"/>
      <w:color w:val="000000"/>
      <w:sz w:val="24"/>
      <w:szCs w:val="24"/>
      <w:u w:val="none"/>
      <w:vertAlign w:val="subscript"/>
    </w:rPr>
  </w:style>
  <w:style w:type="character" w:customStyle="1" w:styleId="12">
    <w:name w:val="font21"/>
    <w:basedOn w:val="6"/>
    <w:uiPriority w:val="0"/>
    <w:rPr>
      <w:rFonts w:hint="eastAsia" w:ascii="微软雅黑" w:hAnsi="微软雅黑" w:eastAsia="微软雅黑" w:cs="微软雅黑"/>
      <w:color w:val="000000"/>
      <w:sz w:val="24"/>
      <w:szCs w:val="24"/>
      <w:u w:val="none"/>
      <w:vertAlign w:val="subscript"/>
    </w:rPr>
  </w:style>
  <w:style w:type="character" w:customStyle="1" w:styleId="13">
    <w:name w:val="页眉 字符"/>
    <w:basedOn w:val="6"/>
    <w:link w:val="3"/>
    <w:uiPriority w:val="0"/>
    <w:rPr>
      <w:rFonts w:asciiTheme="minorHAnsi" w:hAnsiTheme="minorHAnsi" w:eastAsiaTheme="minorEastAsia" w:cstheme="minorBidi"/>
      <w:kern w:val="2"/>
      <w:sz w:val="18"/>
      <w:szCs w:val="18"/>
    </w:rPr>
  </w:style>
  <w:style w:type="character" w:customStyle="1" w:styleId="14">
    <w:name w:val="页脚 字符"/>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1362</Words>
  <Characters>1447</Characters>
  <Lines>13</Lines>
  <Paragraphs>3</Paragraphs>
  <TotalTime>5</TotalTime>
  <ScaleCrop>false</ScaleCrop>
  <LinksUpToDate>false</LinksUpToDate>
  <CharactersWithSpaces>1448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2023-04-26T07:06:00Z</dcterms:created>
  <dc:creator>曾曾啊</dc:creator>
  <cp:lastModifiedBy>DELL</cp:lastModifiedBy>
  <cp:lastPrinted>2022-04-13T10:32:00Z</cp:lastPrinted>
  <dcterms:modified xsi:type="dcterms:W3CDTF">2023-04-26T10:07:54Z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B8721289E6414FB49C50427EE83EE729_13</vt:lpwstr>
  </property>
</Properties>
</file>