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z w:val="44"/>
          <w:szCs w:val="44"/>
          <w:lang w:val="en-US" w:eastAsia="zh-CN"/>
        </w:rPr>
        <w:t>23年北京林业大学优质本科课程名单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520" w:lineRule="exact"/>
        <w:ind w:right="64" w:rightChars="20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（按照课程名称笔画数排序列出）</w:t>
      </w:r>
      <w:bookmarkStart w:id="0" w:name="_GoBack"/>
      <w:bookmarkEnd w:id="0"/>
    </w:p>
    <w:tbl>
      <w:tblPr>
        <w:tblStyle w:val="3"/>
        <w:tblW w:w="9165" w:type="dxa"/>
        <w:tblInd w:w="-3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75"/>
        <w:gridCol w:w="3780"/>
        <w:gridCol w:w="1200"/>
        <w:gridCol w:w="3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负责人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人造板工艺学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唐睿琳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材料科学与技术学院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土壤地理学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查同刚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水土保持学院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大学生计算与信息化素养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陈志泊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风景园林设计studio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郑曦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风景园林规划设计——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城市滨水景观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李倞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心理学研究方法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于晓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人文社会科学学院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生态与环境心理学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田浩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人文社会科学学院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动物实验学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张东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生态与自然保护学院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机械原理A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康峰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汽车电子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王典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环境化学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王毅力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环境科学与工程学院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现代物流与供应链管理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张名扬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林学概论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敖妍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城市化与城市地理学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齐元静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水土保持学院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草坪学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尹淑霞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草业与草原学院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测量学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王佳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虚拟商业社会跨专业综合实训（高级）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薛永基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植物纤维化学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宋先亮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材料科学与技术学院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数字绘本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蔡东娜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艺术设计学院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37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数据结构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李冬梅</w:t>
            </w:r>
          </w:p>
        </w:tc>
        <w:tc>
          <w:tcPr>
            <w:tcW w:w="32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信息学院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2DBF69B2"/>
    <w:rsid w:val="5512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</Words>
  <Characters>37</Characters>
  <Lines>0</Lines>
  <Paragraphs>0</Paragraphs>
  <TotalTime>5</TotalTime>
  <ScaleCrop>false</ScaleCrop>
  <LinksUpToDate>false</LinksUpToDate>
  <CharactersWithSpaces>37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2023-06-08T02:53:55Z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61F147B202324C4AA5EC546E0F40856D</vt:lpwstr>
  </property>
</Properties>
</file>