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00" w:afterAutospacing="1" w:line="540" w:lineRule="exact"/>
        <w:rPr>
          <w:rFonts w:hint="eastAsia" w:ascii="仿宋_GB2312" w:eastAsia="仿宋_GB2312"/>
          <w:bCs/>
          <w:sz w:val="32"/>
          <w:szCs w:val="32"/>
          <w:lang w:eastAsia="zh-CN"/>
        </w:rPr>
      </w:pPr>
      <w:r>
        <w:rPr>
          <w:rFonts w:hint="eastAsia" w:ascii="仿宋_GB2312" w:eastAsia="仿宋_GB2312"/>
          <w:bCs/>
          <w:sz w:val="32"/>
          <w:szCs w:val="32"/>
        </w:rPr>
        <w:t>附件</w:t>
      </w:r>
      <w:r>
        <w:rPr>
          <w:rFonts w:hint="eastAsia" w:ascii="仿宋_GB2312" w:eastAsia="仿宋_GB2312"/>
          <w:bCs/>
          <w:sz w:val="32"/>
          <w:szCs w:val="32"/>
          <w:lang w:val="en-US" w:eastAsia="zh-CN"/>
        </w:rPr>
        <w:t>2</w:t>
      </w:r>
    </w:p>
    <w:p>
      <w:pPr>
        <w:spacing w:after="0" w:afterAutospacing="0" w:line="700" w:lineRule="exact"/>
        <w:jc w:val="center"/>
        <w:rPr>
          <w:rFonts w:hint="eastAsia" w:ascii="小标宋" w:hAnsi="华文中宋" w:eastAsia="小标宋"/>
          <w:color w:val="000000" w:themeColor="text1"/>
          <w:sz w:val="44"/>
          <w:szCs w:val="44"/>
          <w14:textFill>
            <w14:solidFill>
              <w14:schemeClr w14:val="tx1"/>
            </w14:solidFill>
          </w14:textFill>
        </w:rPr>
      </w:pPr>
      <w:r>
        <w:rPr>
          <w:rFonts w:hint="eastAsia" w:ascii="小标宋" w:hAnsi="华文中宋" w:eastAsia="小标宋"/>
          <w:sz w:val="44"/>
          <w:szCs w:val="44"/>
        </w:rPr>
        <w:t>北京林业大学2</w:t>
      </w:r>
      <w:r>
        <w:rPr>
          <w:rFonts w:hint="eastAsia" w:ascii="小标宋" w:hAnsi="华文中宋" w:eastAsia="小标宋"/>
          <w:color w:val="000000" w:themeColor="text1"/>
          <w:sz w:val="44"/>
          <w:szCs w:val="44"/>
          <w14:textFill>
            <w14:solidFill>
              <w14:schemeClr w14:val="tx1"/>
            </w14:solidFill>
          </w14:textFill>
        </w:rPr>
        <w:t>023年教育教学改革与研究</w:t>
      </w:r>
    </w:p>
    <w:p>
      <w:pPr>
        <w:spacing w:after="0" w:afterAutospacing="0" w:line="700" w:lineRule="exact"/>
        <w:jc w:val="center"/>
        <w:rPr>
          <w:rFonts w:ascii="小标宋" w:hAnsi="华文中宋" w:eastAsia="小标宋"/>
          <w:sz w:val="44"/>
          <w:szCs w:val="44"/>
        </w:rPr>
      </w:pPr>
      <w:r>
        <w:rPr>
          <w:rFonts w:hint="eastAsia" w:ascii="小标宋" w:hAnsi="华文中宋" w:eastAsia="小标宋"/>
          <w:color w:val="000000" w:themeColor="text1"/>
          <w:sz w:val="44"/>
          <w:szCs w:val="44"/>
          <w14:textFill>
            <w14:solidFill>
              <w14:schemeClr w14:val="tx1"/>
            </w14:solidFill>
          </w14:textFill>
        </w:rPr>
        <w:t>项目立</w:t>
      </w:r>
      <w:r>
        <w:rPr>
          <w:rFonts w:hint="eastAsia" w:ascii="小标宋" w:hAnsi="华文中宋" w:eastAsia="小标宋"/>
          <w:sz w:val="44"/>
          <w:szCs w:val="44"/>
        </w:rPr>
        <w:t>项说明</w:t>
      </w:r>
    </w:p>
    <w:p>
      <w:pPr>
        <w:spacing w:line="540" w:lineRule="exact"/>
        <w:ind w:right="57" w:firstLine="640" w:firstLineChars="200"/>
        <w:rPr>
          <w:rFonts w:hint="eastAsia" w:ascii="仿宋_GB2312" w:eastAsia="仿宋_GB2312"/>
          <w:bCs/>
          <w:sz w:val="32"/>
          <w:szCs w:val="32"/>
        </w:rPr>
      </w:pP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为贯彻落实习近平总书记在二十届中共中央政治局第五次集体学习时的重要讲话精神，进一步提高我校人才自主培养质量和能力，积极推动新时代本科教育综合改革树人行动计划（以下简称“树人行动计划”）落地实施，培育高水平教育教学成果，</w:t>
      </w:r>
      <w:r>
        <w:rPr>
          <w:rFonts w:hint="eastAsia" w:ascii="仿宋_GB2312" w:eastAsia="仿宋_GB2312"/>
          <w:bCs/>
          <w:sz w:val="32"/>
          <w:szCs w:val="32"/>
          <w:lang w:val="en-US" w:eastAsia="zh-CN"/>
        </w:rPr>
        <w:t>引导</w:t>
      </w:r>
      <w:r>
        <w:rPr>
          <w:rFonts w:hint="eastAsia" w:ascii="仿宋_GB2312" w:eastAsia="仿宋_GB2312"/>
          <w:bCs/>
          <w:sz w:val="32"/>
          <w:szCs w:val="32"/>
        </w:rPr>
        <w:t>支持</w:t>
      </w:r>
      <w:r>
        <w:rPr>
          <w:rFonts w:hint="eastAsia" w:ascii="仿宋_GB2312" w:eastAsia="仿宋_GB2312"/>
          <w:bCs/>
          <w:sz w:val="32"/>
          <w:szCs w:val="32"/>
          <w:lang w:val="en-US" w:eastAsia="zh-CN"/>
        </w:rPr>
        <w:t>广大</w:t>
      </w:r>
      <w:r>
        <w:rPr>
          <w:rFonts w:hint="eastAsia" w:ascii="仿宋_GB2312" w:eastAsia="仿宋_GB2312"/>
          <w:bCs/>
          <w:sz w:val="32"/>
          <w:szCs w:val="32"/>
        </w:rPr>
        <w:t>授课教师和教学管理人员开展体系化精准化教育教学改革与研究，现发布</w:t>
      </w:r>
      <w:r>
        <w:rPr>
          <w:rFonts w:hint="eastAsia" w:ascii="仿宋_GB2312" w:eastAsia="仿宋_GB2312"/>
          <w:bCs/>
          <w:color w:val="000000" w:themeColor="text1"/>
          <w:sz w:val="32"/>
          <w:szCs w:val="32"/>
          <w14:textFill>
            <w14:solidFill>
              <w14:schemeClr w14:val="tx1"/>
            </w14:solidFill>
          </w14:textFill>
        </w:rPr>
        <w:t>立</w:t>
      </w:r>
      <w:r>
        <w:rPr>
          <w:rFonts w:hint="eastAsia" w:ascii="仿宋_GB2312" w:eastAsia="仿宋_GB2312"/>
          <w:bCs/>
          <w:sz w:val="32"/>
          <w:szCs w:val="32"/>
        </w:rPr>
        <w:t>项说明如下。</w:t>
      </w:r>
    </w:p>
    <w:p>
      <w:pPr>
        <w:spacing w:line="540" w:lineRule="exact"/>
        <w:ind w:right="57" w:firstLine="640" w:firstLineChars="200"/>
        <w:rPr>
          <w:rFonts w:ascii="黑体" w:hAnsi="黑体" w:eastAsia="黑体" w:cs="黑体"/>
          <w:bCs/>
          <w:sz w:val="32"/>
          <w:szCs w:val="32"/>
        </w:rPr>
      </w:pPr>
      <w:r>
        <w:rPr>
          <w:rFonts w:hint="eastAsia" w:ascii="黑体" w:hAnsi="黑体" w:eastAsia="黑体" w:cs="黑体"/>
          <w:bCs/>
          <w:sz w:val="32"/>
          <w:szCs w:val="32"/>
        </w:rPr>
        <w:t>一、项目类别说明</w:t>
      </w:r>
    </w:p>
    <w:p>
      <w:pPr>
        <w:spacing w:line="540" w:lineRule="exact"/>
        <w:ind w:right="57" w:firstLine="643" w:firstLineChars="200"/>
        <w:rPr>
          <w:rFonts w:ascii="仿宋_GB2312" w:eastAsia="仿宋_GB2312"/>
          <w:b/>
          <w:sz w:val="32"/>
          <w:szCs w:val="32"/>
        </w:rPr>
      </w:pPr>
      <w:r>
        <w:rPr>
          <w:rFonts w:hint="eastAsia" w:ascii="仿宋_GB2312" w:eastAsia="仿宋_GB2312"/>
          <w:b/>
          <w:sz w:val="32"/>
          <w:szCs w:val="32"/>
        </w:rPr>
        <w:t>1.重大项目</w:t>
      </w:r>
    </w:p>
    <w:p>
      <w:pPr>
        <w:spacing w:line="540" w:lineRule="exact"/>
        <w:ind w:right="57" w:firstLine="640" w:firstLineChars="200"/>
        <w:rPr>
          <w:rFonts w:ascii="仿宋_GB2312" w:eastAsia="仿宋_GB2312"/>
          <w:bCs/>
          <w:sz w:val="32"/>
          <w:szCs w:val="32"/>
        </w:rPr>
      </w:pPr>
      <w:r>
        <w:rPr>
          <w:rFonts w:ascii="仿宋_GB2312" w:eastAsia="仿宋_GB2312"/>
          <w:bCs/>
          <w:sz w:val="32"/>
          <w:szCs w:val="32"/>
        </w:rPr>
        <w:t>坚持目标导向、问题导向、效果导向相统一，遵循高等教育教学规律，重点聚焦</w:t>
      </w:r>
      <w:r>
        <w:rPr>
          <w:rFonts w:hint="eastAsia" w:ascii="仿宋_GB2312" w:hAnsi="仿宋_GB2312" w:eastAsia="仿宋_GB2312" w:cs="仿宋_GB2312"/>
          <w:bCs/>
          <w:sz w:val="32"/>
          <w:szCs w:val="32"/>
        </w:rPr>
        <w:t>“四新”</w:t>
      </w:r>
      <w:r>
        <w:rPr>
          <w:rFonts w:ascii="仿宋_GB2312" w:eastAsia="仿宋_GB2312"/>
          <w:bCs/>
          <w:sz w:val="32"/>
          <w:szCs w:val="32"/>
        </w:rPr>
        <w:t>建设前沿、本科教育教学重点难点问题、教学成果奖培育等主题，突出</w:t>
      </w:r>
      <w:r>
        <w:rPr>
          <w:rFonts w:hint="eastAsia" w:ascii="仿宋_GB2312" w:hAnsi="仿宋_GB2312" w:eastAsia="仿宋_GB2312" w:cs="仿宋_GB2312"/>
          <w:bCs/>
          <w:sz w:val="32"/>
          <w:szCs w:val="32"/>
        </w:rPr>
        <w:t>“交叉融合再出新”</w:t>
      </w:r>
      <w:r>
        <w:rPr>
          <w:rFonts w:ascii="仿宋_GB2312" w:eastAsia="仿宋_GB2312"/>
          <w:bCs/>
          <w:sz w:val="32"/>
          <w:szCs w:val="32"/>
        </w:rPr>
        <w:t>，</w:t>
      </w:r>
      <w:r>
        <w:rPr>
          <w:rFonts w:hint="eastAsia" w:ascii="仿宋_GB2312" w:eastAsia="仿宋_GB2312"/>
          <w:bCs/>
          <w:sz w:val="32"/>
          <w:szCs w:val="32"/>
        </w:rPr>
        <w:t>鼓励各单位针对某一重大项目主题，组建跨校、跨部门、跨学科、跨专业研究团队，开展有组织、持续性、系统化的改革与研究，为培育</w:t>
      </w:r>
      <w:r>
        <w:rPr>
          <w:rFonts w:ascii="仿宋_GB2312" w:eastAsia="仿宋_GB2312"/>
          <w:bCs/>
          <w:sz w:val="32"/>
          <w:szCs w:val="32"/>
        </w:rPr>
        <w:t>国家级</w:t>
      </w:r>
      <w:r>
        <w:rPr>
          <w:rFonts w:hint="eastAsia" w:ascii="仿宋_GB2312" w:eastAsia="仿宋_GB2312"/>
          <w:bCs/>
          <w:sz w:val="32"/>
          <w:szCs w:val="32"/>
        </w:rPr>
        <w:t>或北京市级</w:t>
      </w:r>
      <w:r>
        <w:rPr>
          <w:rFonts w:ascii="仿宋_GB2312" w:eastAsia="仿宋_GB2312"/>
          <w:bCs/>
          <w:sz w:val="32"/>
          <w:szCs w:val="32"/>
        </w:rPr>
        <w:t>教育教学成果奖</w:t>
      </w:r>
      <w:r>
        <w:rPr>
          <w:rFonts w:hint="eastAsia" w:ascii="仿宋_GB2312" w:eastAsia="仿宋_GB2312"/>
          <w:bCs/>
          <w:sz w:val="32"/>
          <w:szCs w:val="32"/>
        </w:rPr>
        <w:t>夯实理论和实践基础。</w:t>
      </w: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聚焦“教育强国、北林何为”这一重要命题，探索构建</w:t>
      </w:r>
      <w:r>
        <w:rPr>
          <w:rFonts w:ascii="仿宋_GB2312" w:eastAsia="仿宋_GB2312"/>
          <w:bCs/>
          <w:sz w:val="32"/>
          <w:szCs w:val="32"/>
        </w:rPr>
        <w:t>特色鲜明的生态文明建设教育体系，围绕</w:t>
      </w:r>
      <w:r>
        <w:rPr>
          <w:rFonts w:hint="eastAsia" w:ascii="仿宋_GB2312" w:eastAsia="仿宋_GB2312"/>
          <w:bCs/>
          <w:sz w:val="32"/>
          <w:szCs w:val="32"/>
        </w:rPr>
        <w:t>培养支撑</w:t>
      </w:r>
      <w:r>
        <w:rPr>
          <w:rFonts w:ascii="仿宋_GB2312" w:eastAsia="仿宋_GB2312"/>
          <w:bCs/>
          <w:sz w:val="32"/>
          <w:szCs w:val="32"/>
        </w:rPr>
        <w:t>生态文明建设的创新型、复合型和应用型领军人才</w:t>
      </w:r>
      <w:r>
        <w:rPr>
          <w:rFonts w:hint="eastAsia" w:ascii="仿宋_GB2312" w:eastAsia="仿宋_GB2312"/>
          <w:bCs/>
          <w:sz w:val="32"/>
          <w:szCs w:val="32"/>
        </w:rPr>
        <w:t>，找准当前</w:t>
      </w:r>
      <w:r>
        <w:rPr>
          <w:rFonts w:ascii="仿宋_GB2312" w:eastAsia="仿宋_GB2312"/>
          <w:bCs/>
          <w:sz w:val="32"/>
          <w:szCs w:val="32"/>
        </w:rPr>
        <w:t>教育教学</w:t>
      </w:r>
      <w:r>
        <w:rPr>
          <w:rFonts w:hint="eastAsia" w:ascii="仿宋_GB2312" w:eastAsia="仿宋_GB2312"/>
          <w:bCs/>
          <w:sz w:val="32"/>
          <w:szCs w:val="32"/>
        </w:rPr>
        <w:t>重</w:t>
      </w:r>
      <w:r>
        <w:rPr>
          <w:rFonts w:ascii="仿宋_GB2312" w:eastAsia="仿宋_GB2312"/>
          <w:bCs/>
          <w:sz w:val="32"/>
          <w:szCs w:val="32"/>
        </w:rPr>
        <w:t>难点问题</w:t>
      </w:r>
      <w:r>
        <w:rPr>
          <w:rFonts w:hint="eastAsia" w:ascii="仿宋_GB2312" w:eastAsia="仿宋_GB2312"/>
          <w:bCs/>
          <w:sz w:val="32"/>
          <w:szCs w:val="32"/>
        </w:rPr>
        <w:t>，开展有组织的</w:t>
      </w:r>
      <w:r>
        <w:rPr>
          <w:rFonts w:ascii="仿宋_GB2312" w:eastAsia="仿宋_GB2312"/>
          <w:bCs/>
          <w:sz w:val="32"/>
          <w:szCs w:val="32"/>
        </w:rPr>
        <w:t>改革与研究，凝练重大研究成果，</w:t>
      </w:r>
      <w:r>
        <w:rPr>
          <w:rFonts w:hint="eastAsia" w:ascii="仿宋_GB2312" w:eastAsia="仿宋_GB2312"/>
          <w:bCs/>
          <w:sz w:val="32"/>
          <w:szCs w:val="32"/>
        </w:rPr>
        <w:t>以体系化的教育教学改革与研究推动人才自主培养质量持续提升。</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研究主题包括但不限于以下方面：</w:t>
      </w:r>
      <w:r>
        <w:rPr>
          <w:rFonts w:hint="eastAsia" w:ascii="仿宋_GB2312" w:eastAsia="仿宋_GB2312"/>
          <w:bCs/>
          <w:sz w:val="32"/>
          <w:szCs w:val="32"/>
        </w:rPr>
        <w:t>推动习近平新时代中国特色社会主义思想入脑入心、构建新时代本科人才培养体系、动态优化调整专业结构、拔尖创新人才自主培养、国家战略人才和急需紧缺人才培养示范区建设、学科专业一体化发展、招-培-就联动机制等</w:t>
      </w:r>
      <w:r>
        <w:rPr>
          <w:rFonts w:ascii="仿宋_GB2312" w:eastAsia="仿宋_GB2312"/>
          <w:bCs/>
          <w:sz w:val="32"/>
          <w:szCs w:val="32"/>
        </w:rPr>
        <w:t>。</w:t>
      </w:r>
      <w:r>
        <w:rPr>
          <w:rFonts w:hint="eastAsia" w:ascii="仿宋_GB2312" w:eastAsia="仿宋_GB2312"/>
          <w:bCs/>
          <w:sz w:val="32"/>
          <w:szCs w:val="32"/>
        </w:rPr>
        <w:t>主持人原则上须具有高级</w:t>
      </w:r>
      <w:r>
        <w:rPr>
          <w:rFonts w:ascii="仿宋_GB2312" w:eastAsia="仿宋_GB2312"/>
          <w:bCs/>
          <w:sz w:val="32"/>
          <w:szCs w:val="32"/>
        </w:rPr>
        <w:t>职称</w:t>
      </w:r>
      <w:r>
        <w:rPr>
          <w:rFonts w:hint="eastAsia" w:ascii="仿宋_GB2312" w:eastAsia="仿宋_GB2312"/>
          <w:bCs/>
          <w:sz w:val="32"/>
          <w:szCs w:val="32"/>
        </w:rPr>
        <w:t>。</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拟立项目数</w:t>
      </w:r>
      <w:r>
        <w:rPr>
          <w:rFonts w:hint="eastAsia" w:ascii="仿宋_GB2312" w:eastAsia="仿宋_GB2312"/>
          <w:bCs/>
          <w:sz w:val="32"/>
          <w:szCs w:val="32"/>
        </w:rPr>
        <w:t>：1</w:t>
      </w:r>
      <w:r>
        <w:rPr>
          <w:rFonts w:hint="eastAsia" w:ascii="仿宋_GB2312" w:eastAsia="仿宋_GB2312"/>
          <w:bCs/>
          <w:sz w:val="32"/>
          <w:szCs w:val="32"/>
          <w:lang w:val="en-US" w:eastAsia="zh-CN"/>
        </w:rPr>
        <w:t>9</w:t>
      </w:r>
      <w:r>
        <w:rPr>
          <w:rFonts w:hint="eastAsia" w:ascii="仿宋_GB2312" w:eastAsia="仿宋_GB2312"/>
          <w:bCs/>
          <w:sz w:val="32"/>
          <w:szCs w:val="32"/>
        </w:rPr>
        <w:t>项左右</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项目周期</w:t>
      </w:r>
      <w:r>
        <w:rPr>
          <w:rFonts w:hint="eastAsia" w:ascii="仿宋_GB2312" w:eastAsia="仿宋_GB2312"/>
          <w:bCs/>
          <w:sz w:val="32"/>
          <w:szCs w:val="32"/>
        </w:rPr>
        <w:t>：2年</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项目资助金额</w:t>
      </w:r>
      <w:r>
        <w:rPr>
          <w:rFonts w:hint="eastAsia" w:ascii="仿宋_GB2312" w:eastAsia="仿宋_GB2312"/>
          <w:bCs/>
          <w:sz w:val="32"/>
          <w:szCs w:val="32"/>
        </w:rPr>
        <w:t>：不超过1万元/项</w:t>
      </w:r>
    </w:p>
    <w:p>
      <w:pPr>
        <w:spacing w:line="540" w:lineRule="exact"/>
        <w:ind w:right="57" w:firstLine="643" w:firstLineChars="200"/>
        <w:rPr>
          <w:rFonts w:ascii="仿宋_GB2312" w:eastAsia="仿宋_GB2312"/>
          <w:b/>
          <w:sz w:val="32"/>
          <w:szCs w:val="32"/>
        </w:rPr>
      </w:pPr>
      <w:r>
        <w:rPr>
          <w:rFonts w:hint="eastAsia" w:ascii="仿宋_GB2312" w:eastAsia="仿宋_GB2312"/>
          <w:b/>
          <w:sz w:val="32"/>
          <w:szCs w:val="32"/>
        </w:rPr>
        <w:t>2.重点项目</w:t>
      </w: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针对“四新”建设背景下，教育教学中核心问题和关键环节，设立高站位、交叉性、开创性的教育教学改革与研究项目，</w:t>
      </w:r>
      <w:r>
        <w:rPr>
          <w:rFonts w:ascii="仿宋_GB2312" w:eastAsia="仿宋_GB2312"/>
          <w:bCs/>
          <w:sz w:val="32"/>
          <w:szCs w:val="32"/>
        </w:rPr>
        <w:t>推进教研成果进教材进教案进课堂</w:t>
      </w:r>
      <w:r>
        <w:rPr>
          <w:rFonts w:hint="eastAsia" w:ascii="仿宋_GB2312" w:eastAsia="仿宋_GB2312"/>
          <w:bCs/>
          <w:sz w:val="32"/>
          <w:szCs w:val="32"/>
        </w:rPr>
        <w:t>，鼓励各单位针对某一重点项目主题，开展有组织、系统性研究，为培育各级</w:t>
      </w:r>
      <w:r>
        <w:rPr>
          <w:rFonts w:ascii="仿宋_GB2312" w:eastAsia="仿宋_GB2312"/>
          <w:bCs/>
          <w:sz w:val="32"/>
          <w:szCs w:val="32"/>
        </w:rPr>
        <w:t>教育教学成果奖</w:t>
      </w:r>
      <w:r>
        <w:rPr>
          <w:rFonts w:hint="eastAsia" w:ascii="仿宋_GB2312" w:eastAsia="仿宋_GB2312"/>
          <w:bCs/>
          <w:sz w:val="32"/>
          <w:szCs w:val="32"/>
        </w:rPr>
        <w:t>积累素材。</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涉及主题包括但不限于以下方面：</w:t>
      </w:r>
      <w:r>
        <w:rPr>
          <w:rFonts w:hint="eastAsia" w:ascii="仿宋_GB2312" w:eastAsia="仿宋_GB2312"/>
          <w:bCs/>
          <w:sz w:val="32"/>
          <w:szCs w:val="32"/>
        </w:rPr>
        <w:t>体系化推进课程</w:t>
      </w:r>
      <w:r>
        <w:rPr>
          <w:rFonts w:ascii="仿宋_GB2312" w:eastAsia="仿宋_GB2312"/>
          <w:bCs/>
          <w:sz w:val="32"/>
          <w:szCs w:val="32"/>
        </w:rPr>
        <w:t>思政、</w:t>
      </w:r>
      <w:r>
        <w:rPr>
          <w:rFonts w:hint="eastAsia" w:ascii="仿宋_GB2312" w:eastAsia="仿宋_GB2312"/>
          <w:bCs/>
          <w:sz w:val="32"/>
          <w:szCs w:val="32"/>
        </w:rPr>
        <w:t>构建生态文明品牌课程体系、数字化优质教学资源建设、实践教学体系改革创新、本科人才培养质量体系构建、新型教学组织建设、科教融汇培养拔尖创新人才、产教融合培养高素质复合型人才等，研究应侧重于实证研究和示范推广价值。主持人原则上须具有高级</w:t>
      </w:r>
      <w:r>
        <w:rPr>
          <w:rFonts w:ascii="仿宋_GB2312" w:eastAsia="仿宋_GB2312"/>
          <w:bCs/>
          <w:sz w:val="32"/>
          <w:szCs w:val="32"/>
        </w:rPr>
        <w:t>职称</w:t>
      </w:r>
      <w:r>
        <w:rPr>
          <w:rFonts w:hint="eastAsia" w:ascii="仿宋_GB2312" w:eastAsia="仿宋_GB2312"/>
          <w:bCs/>
          <w:sz w:val="32"/>
          <w:szCs w:val="32"/>
        </w:rPr>
        <w:t>。</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拟立项目数：</w:t>
      </w:r>
      <w:r>
        <w:rPr>
          <w:rFonts w:hint="eastAsia" w:ascii="仿宋_GB2312" w:eastAsia="仿宋_GB2312"/>
          <w:bCs/>
          <w:sz w:val="32"/>
          <w:szCs w:val="32"/>
        </w:rPr>
        <w:t>1</w:t>
      </w:r>
      <w:r>
        <w:rPr>
          <w:rFonts w:hint="eastAsia" w:ascii="仿宋_GB2312" w:eastAsia="仿宋_GB2312"/>
          <w:bCs/>
          <w:sz w:val="32"/>
          <w:szCs w:val="32"/>
          <w:lang w:val="en-US" w:eastAsia="zh-CN"/>
        </w:rPr>
        <w:t>9</w:t>
      </w:r>
      <w:r>
        <w:rPr>
          <w:rFonts w:hint="eastAsia" w:ascii="仿宋_GB2312" w:eastAsia="仿宋_GB2312"/>
          <w:bCs/>
          <w:sz w:val="32"/>
          <w:szCs w:val="32"/>
        </w:rPr>
        <w:t>项左右</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项目周期：</w:t>
      </w:r>
      <w:r>
        <w:rPr>
          <w:rFonts w:hint="eastAsia" w:ascii="仿宋_GB2312" w:eastAsia="仿宋_GB2312"/>
          <w:bCs/>
          <w:sz w:val="32"/>
          <w:szCs w:val="32"/>
        </w:rPr>
        <w:t>2年</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项目资助金额：</w:t>
      </w:r>
      <w:r>
        <w:rPr>
          <w:rFonts w:hint="eastAsia" w:ascii="仿宋_GB2312" w:eastAsia="仿宋_GB2312"/>
          <w:bCs/>
          <w:sz w:val="32"/>
          <w:szCs w:val="32"/>
        </w:rPr>
        <w:t xml:space="preserve">不超过0.5万元/项  </w:t>
      </w:r>
    </w:p>
    <w:p>
      <w:pPr>
        <w:spacing w:line="540" w:lineRule="exact"/>
        <w:ind w:right="57" w:firstLine="643" w:firstLineChars="200"/>
        <w:rPr>
          <w:rFonts w:ascii="仿宋_GB2312" w:eastAsia="仿宋_GB2312"/>
          <w:b/>
          <w:sz w:val="32"/>
          <w:szCs w:val="32"/>
        </w:rPr>
      </w:pPr>
      <w:r>
        <w:rPr>
          <w:rFonts w:hint="eastAsia" w:ascii="仿宋_GB2312" w:eastAsia="仿宋_GB2312"/>
          <w:b/>
          <w:sz w:val="32"/>
          <w:szCs w:val="32"/>
        </w:rPr>
        <w:t>3.一般项目</w:t>
      </w: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以推动“树人行动计划”二十四项具体行动举措落地落实为目标，支持围绕教学模式、教学方法和教学手段、考试考核方式方法、实践教学、教学运行与管理等教育教学各环节开展个性化、具体化、精准化的教育教学研究与实践。</w:t>
      </w: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涉及主题包括但不限于以下方面：课程教材建设、通识教育课程改革、创新创业教育、教学数字化智能化改革、教育教学管理等“树人行动计划”各项任务举措。</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拟立项目数：</w:t>
      </w:r>
      <w:r>
        <w:rPr>
          <w:rFonts w:hint="eastAsia" w:ascii="仿宋_GB2312" w:eastAsia="仿宋_GB2312"/>
          <w:bCs/>
          <w:sz w:val="32"/>
          <w:szCs w:val="32"/>
        </w:rPr>
        <w:t>1</w:t>
      </w:r>
      <w:r>
        <w:rPr>
          <w:rFonts w:hint="eastAsia" w:ascii="仿宋_GB2312" w:eastAsia="仿宋_GB2312"/>
          <w:bCs/>
          <w:sz w:val="32"/>
          <w:szCs w:val="32"/>
          <w:lang w:val="en-US" w:eastAsia="zh-CN"/>
        </w:rPr>
        <w:t>46</w:t>
      </w:r>
      <w:bookmarkStart w:id="0" w:name="_GoBack"/>
      <w:bookmarkEnd w:id="0"/>
      <w:r>
        <w:rPr>
          <w:rFonts w:hint="eastAsia" w:ascii="仿宋_GB2312" w:eastAsia="仿宋_GB2312"/>
          <w:bCs/>
          <w:sz w:val="32"/>
          <w:szCs w:val="32"/>
        </w:rPr>
        <w:t>项左右</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项目周期：</w:t>
      </w:r>
      <w:r>
        <w:rPr>
          <w:rFonts w:hint="eastAsia" w:ascii="仿宋_GB2312" w:eastAsia="仿宋_GB2312"/>
          <w:bCs/>
          <w:sz w:val="32"/>
          <w:szCs w:val="32"/>
        </w:rPr>
        <w:t>1年</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资助金额：</w:t>
      </w:r>
      <w:r>
        <w:rPr>
          <w:rFonts w:hint="eastAsia" w:ascii="仿宋_GB2312" w:eastAsia="仿宋_GB2312"/>
          <w:bCs/>
          <w:sz w:val="32"/>
          <w:szCs w:val="32"/>
        </w:rPr>
        <w:t>项目主持人或所在单位需</w:t>
      </w:r>
      <w:r>
        <w:rPr>
          <w:rFonts w:ascii="仿宋_GB2312" w:eastAsia="仿宋_GB2312"/>
          <w:bCs/>
          <w:sz w:val="32"/>
          <w:szCs w:val="32"/>
        </w:rPr>
        <w:t>自</w:t>
      </w:r>
      <w:r>
        <w:rPr>
          <w:rFonts w:hint="eastAsia" w:ascii="仿宋_GB2312" w:eastAsia="仿宋_GB2312"/>
          <w:bCs/>
          <w:sz w:val="32"/>
          <w:szCs w:val="32"/>
        </w:rPr>
        <w:t>筹项目经费，项目产出成果确需经费支持的，可向教务处申请。</w:t>
      </w:r>
    </w:p>
    <w:p>
      <w:pPr>
        <w:spacing w:line="540" w:lineRule="exact"/>
        <w:ind w:right="57" w:firstLine="643" w:firstLineChars="200"/>
        <w:rPr>
          <w:rFonts w:ascii="仿宋_GB2312" w:eastAsia="仿宋_GB2312"/>
          <w:b/>
          <w:sz w:val="32"/>
          <w:szCs w:val="32"/>
        </w:rPr>
      </w:pPr>
      <w:r>
        <w:rPr>
          <w:rFonts w:hint="eastAsia" w:ascii="仿宋_GB2312" w:eastAsia="仿宋_GB2312"/>
          <w:b/>
          <w:sz w:val="32"/>
          <w:szCs w:val="32"/>
        </w:rPr>
        <w:t>4.课程思政专项</w:t>
      </w:r>
    </w:p>
    <w:p>
      <w:pPr>
        <w:spacing w:line="540" w:lineRule="exact"/>
        <w:ind w:right="57" w:firstLine="640" w:firstLineChars="200"/>
        <w:rPr>
          <w:rFonts w:ascii="仿宋_GB2312" w:eastAsia="仿宋_GB2312"/>
          <w:bCs/>
          <w:sz w:val="32"/>
        </w:rPr>
      </w:pPr>
      <w:r>
        <w:rPr>
          <w:rFonts w:hint="eastAsia" w:ascii="仿宋_GB2312" w:eastAsia="仿宋_GB2312"/>
          <w:bCs/>
          <w:sz w:val="32"/>
          <w:szCs w:val="32"/>
        </w:rPr>
        <w:t>落实《关于全面推动习近平新时代中国特色社会主义思想进教材进课堂进头脑的实施意见》《北京林业大学全面推进“大思政课”建设工作方案》等文件要求，从专业人才培养方案、专业建设、</w:t>
      </w:r>
      <w:r>
        <w:rPr>
          <w:rFonts w:ascii="仿宋_GB2312" w:eastAsia="仿宋_GB2312"/>
          <w:bCs/>
          <w:sz w:val="32"/>
          <w:szCs w:val="32"/>
        </w:rPr>
        <w:t>课程</w:t>
      </w:r>
      <w:r>
        <w:rPr>
          <w:rFonts w:hint="eastAsia" w:ascii="仿宋_GB2312" w:eastAsia="仿宋_GB2312"/>
          <w:bCs/>
          <w:sz w:val="32"/>
          <w:szCs w:val="32"/>
        </w:rPr>
        <w:t>群建设为研究方向进行</w:t>
      </w:r>
      <w:r>
        <w:rPr>
          <w:rFonts w:ascii="仿宋_GB2312" w:eastAsia="仿宋_GB2312"/>
          <w:bCs/>
          <w:sz w:val="32"/>
          <w:szCs w:val="32"/>
        </w:rPr>
        <w:t>集团化专业课程思政</w:t>
      </w:r>
      <w:r>
        <w:rPr>
          <w:rFonts w:hint="eastAsia" w:ascii="仿宋_GB2312" w:eastAsia="仿宋_GB2312"/>
          <w:bCs/>
          <w:sz w:val="32"/>
          <w:szCs w:val="32"/>
          <w:lang w:val="en-US" w:eastAsia="zh-CN"/>
        </w:rPr>
        <w:t>建设，强化课程思政与思政课程同向同行，在全面推动“三进”走深走实上形成最大合力</w:t>
      </w:r>
      <w:r>
        <w:rPr>
          <w:rFonts w:hint="eastAsia" w:ascii="仿宋_GB2312" w:eastAsia="仿宋_GB2312"/>
          <w:bCs/>
          <w:sz w:val="32"/>
          <w:szCs w:val="32"/>
        </w:rPr>
        <w:t>。</w:t>
      </w:r>
    </w:p>
    <w:p>
      <w:pPr>
        <w:spacing w:line="540" w:lineRule="exact"/>
        <w:ind w:right="57" w:firstLine="640" w:firstLineChars="200"/>
        <w:rPr>
          <w:rFonts w:hint="eastAsia" w:asciiTheme="minorHAnsi" w:eastAsiaTheme="minorEastAsia"/>
          <w:bCs w:val="0"/>
          <w:sz w:val="21"/>
        </w:rPr>
      </w:pPr>
      <w:r>
        <w:rPr>
          <w:rFonts w:hint="eastAsia" w:ascii="仿宋_GB2312" w:eastAsia="仿宋_GB2312"/>
          <w:bCs/>
          <w:sz w:val="32"/>
          <w:szCs w:val="32"/>
        </w:rPr>
        <w:t>聚焦课程思政“盐溶于水不生硬、系统挖掘不片面、灵活多样不单一、久久为功不空谈”的原则，优化教学目标、优化教学内容、优化教学方法、优化教学程序、优化教学手段、优化考核办法，强化学院、专业、课程群等特色，</w:t>
      </w:r>
      <w:r>
        <w:rPr>
          <w:rFonts w:hint="eastAsia" w:ascii="仿宋_GB2312" w:eastAsia="仿宋_GB2312"/>
          <w:bCs/>
          <w:sz w:val="32"/>
          <w:szCs w:val="32"/>
          <w:lang w:val="en-US" w:eastAsia="zh-CN"/>
        </w:rPr>
        <w:t>以系统推进专业思政育人，提升“三进”工作实效，</w:t>
      </w:r>
      <w:r>
        <w:rPr>
          <w:rFonts w:hint="eastAsia" w:ascii="仿宋_GB2312" w:eastAsia="仿宋_GB2312"/>
          <w:bCs/>
          <w:sz w:val="32"/>
          <w:szCs w:val="32"/>
        </w:rPr>
        <w:t>形成我校课程思政品牌“百花齐放”新局面。</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拟立项目数：</w:t>
      </w:r>
      <w:r>
        <w:rPr>
          <w:rFonts w:hint="eastAsia" w:ascii="仿宋_GB2312" w:eastAsia="仿宋_GB2312"/>
          <w:bCs/>
          <w:sz w:val="32"/>
          <w:szCs w:val="32"/>
        </w:rPr>
        <w:t>1</w:t>
      </w:r>
      <w:r>
        <w:rPr>
          <w:rFonts w:hint="eastAsia" w:ascii="仿宋_GB2312" w:eastAsia="仿宋_GB2312"/>
          <w:bCs/>
          <w:sz w:val="32"/>
          <w:szCs w:val="32"/>
          <w:lang w:val="en-US" w:eastAsia="zh-CN"/>
        </w:rPr>
        <w:t>8</w:t>
      </w:r>
      <w:r>
        <w:rPr>
          <w:rFonts w:hint="eastAsia" w:ascii="仿宋_GB2312" w:eastAsia="仿宋_GB2312"/>
          <w:bCs/>
          <w:sz w:val="32"/>
          <w:szCs w:val="32"/>
        </w:rPr>
        <w:t>项左右</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项目周期：</w:t>
      </w:r>
      <w:r>
        <w:rPr>
          <w:rFonts w:hint="eastAsia" w:ascii="仿宋_GB2312" w:eastAsia="仿宋_GB2312"/>
          <w:bCs/>
          <w:sz w:val="32"/>
          <w:szCs w:val="32"/>
        </w:rPr>
        <w:t>1年</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资助金额：</w:t>
      </w:r>
      <w:r>
        <w:rPr>
          <w:rFonts w:hint="eastAsia" w:ascii="仿宋_GB2312" w:eastAsia="仿宋_GB2312"/>
          <w:bCs/>
          <w:sz w:val="32"/>
          <w:szCs w:val="32"/>
        </w:rPr>
        <w:t>项目主持人或所在单位需</w:t>
      </w:r>
      <w:r>
        <w:rPr>
          <w:rFonts w:ascii="仿宋_GB2312" w:eastAsia="仿宋_GB2312"/>
          <w:bCs/>
          <w:sz w:val="32"/>
          <w:szCs w:val="32"/>
        </w:rPr>
        <w:t>自</w:t>
      </w:r>
      <w:r>
        <w:rPr>
          <w:rFonts w:hint="eastAsia" w:ascii="仿宋_GB2312" w:eastAsia="仿宋_GB2312"/>
          <w:bCs/>
          <w:sz w:val="32"/>
          <w:szCs w:val="32"/>
        </w:rPr>
        <w:t>筹项目经费，项目产出成果确需经费支持的，可向教务处申请。</w:t>
      </w:r>
    </w:p>
    <w:p>
      <w:pPr>
        <w:spacing w:line="540" w:lineRule="exact"/>
        <w:ind w:right="57" w:firstLine="643" w:firstLineChars="200"/>
        <w:rPr>
          <w:rFonts w:ascii="仿宋_GB2312" w:eastAsia="仿宋_GB2312"/>
          <w:b/>
          <w:sz w:val="32"/>
          <w:szCs w:val="32"/>
        </w:rPr>
      </w:pPr>
      <w:r>
        <w:rPr>
          <w:rFonts w:hint="eastAsia" w:ascii="仿宋_GB2312" w:eastAsia="仿宋_GB2312"/>
          <w:b/>
          <w:sz w:val="32"/>
          <w:szCs w:val="32"/>
        </w:rPr>
        <w:t>5.五育并举专项</w:t>
      </w: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以构建“以德为核、五育融通”的高水平人才培养体系为目标，在探索德育铸魂、智育赋能、体育强身、美育浸润、劳育促能基础上，可侧重在专项研究与改革实践中推动“五育”有机融合，探索“五育”密切联系和科学规律，发挥更大育人合力，</w:t>
      </w:r>
      <w:r>
        <w:rPr>
          <w:rFonts w:hint="eastAsia" w:ascii="仿宋_GB2312" w:hAnsi="仿宋_GB2312" w:eastAsia="仿宋_GB2312" w:cs="仿宋_GB2312"/>
          <w:color w:val="000000" w:themeColor="text1"/>
          <w:sz w:val="32"/>
          <w:szCs w:val="32"/>
          <w14:textFill>
            <w14:solidFill>
              <w14:schemeClr w14:val="tx1"/>
            </w14:solidFill>
          </w14:textFill>
        </w:rPr>
        <w:t>促进学生全面成长成才。</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拟立项目数：</w:t>
      </w:r>
      <w:r>
        <w:rPr>
          <w:rFonts w:hint="eastAsia" w:ascii="仿宋_GB2312" w:eastAsia="仿宋_GB2312"/>
          <w:bCs/>
          <w:sz w:val="32"/>
          <w:szCs w:val="32"/>
        </w:rPr>
        <w:t>1</w:t>
      </w:r>
      <w:r>
        <w:rPr>
          <w:rFonts w:hint="eastAsia" w:ascii="仿宋_GB2312" w:eastAsia="仿宋_GB2312"/>
          <w:bCs/>
          <w:sz w:val="32"/>
          <w:szCs w:val="32"/>
          <w:lang w:val="en-US" w:eastAsia="zh-CN"/>
        </w:rPr>
        <w:t>8</w:t>
      </w:r>
      <w:r>
        <w:rPr>
          <w:rFonts w:hint="eastAsia" w:ascii="仿宋_GB2312" w:eastAsia="仿宋_GB2312"/>
          <w:bCs/>
          <w:sz w:val="32"/>
          <w:szCs w:val="32"/>
        </w:rPr>
        <w:t>项左右</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项目周期：</w:t>
      </w:r>
      <w:r>
        <w:rPr>
          <w:rFonts w:hint="eastAsia" w:ascii="仿宋_GB2312" w:eastAsia="仿宋_GB2312"/>
          <w:bCs/>
          <w:sz w:val="32"/>
          <w:szCs w:val="32"/>
        </w:rPr>
        <w:t>1年</w:t>
      </w:r>
    </w:p>
    <w:p>
      <w:pPr>
        <w:spacing w:line="540" w:lineRule="exact"/>
        <w:ind w:right="57" w:firstLine="643" w:firstLineChars="200"/>
        <w:rPr>
          <w:rFonts w:ascii="仿宋_GB2312" w:eastAsia="仿宋_GB2312"/>
          <w:bCs/>
          <w:sz w:val="32"/>
          <w:szCs w:val="32"/>
        </w:rPr>
      </w:pPr>
      <w:r>
        <w:rPr>
          <w:rFonts w:hint="eastAsia" w:ascii="仿宋_GB2312" w:eastAsia="仿宋_GB2312"/>
          <w:b/>
          <w:bCs w:val="0"/>
          <w:sz w:val="32"/>
          <w:szCs w:val="32"/>
        </w:rPr>
        <w:t>资助金额：</w:t>
      </w:r>
      <w:r>
        <w:rPr>
          <w:rFonts w:hint="eastAsia" w:ascii="仿宋_GB2312" w:eastAsia="仿宋_GB2312"/>
          <w:bCs/>
          <w:sz w:val="32"/>
          <w:szCs w:val="32"/>
        </w:rPr>
        <w:t>项目主持人或所在单位需</w:t>
      </w:r>
      <w:r>
        <w:rPr>
          <w:rFonts w:ascii="仿宋_GB2312" w:eastAsia="仿宋_GB2312"/>
          <w:bCs/>
          <w:sz w:val="32"/>
          <w:szCs w:val="32"/>
        </w:rPr>
        <w:t>自</w:t>
      </w:r>
      <w:r>
        <w:rPr>
          <w:rFonts w:hint="eastAsia" w:ascii="仿宋_GB2312" w:eastAsia="仿宋_GB2312"/>
          <w:bCs/>
          <w:sz w:val="32"/>
          <w:szCs w:val="32"/>
        </w:rPr>
        <w:t>筹项目经费，项目产出成果确需经费支持的，可向教务处申请。</w:t>
      </w:r>
    </w:p>
    <w:p>
      <w:pPr>
        <w:spacing w:line="540" w:lineRule="exact"/>
        <w:ind w:right="57" w:firstLine="640" w:firstLineChars="200"/>
        <w:rPr>
          <w:rFonts w:ascii="黑体" w:hAnsi="黑体" w:eastAsia="黑体" w:cs="黑体"/>
          <w:bCs/>
          <w:sz w:val="32"/>
          <w:szCs w:val="32"/>
        </w:rPr>
      </w:pPr>
      <w:r>
        <w:rPr>
          <w:rFonts w:hint="eastAsia" w:ascii="黑体" w:hAnsi="黑体" w:eastAsia="黑体" w:cs="黑体"/>
          <w:bCs/>
          <w:sz w:val="32"/>
          <w:szCs w:val="32"/>
        </w:rPr>
        <w:t>二、资助经费说明</w:t>
      </w:r>
    </w:p>
    <w:p>
      <w:pPr>
        <w:spacing w:line="540" w:lineRule="exact"/>
        <w:ind w:right="57" w:firstLine="640" w:firstLineChars="200"/>
        <w:rPr>
          <w:rFonts w:hint="eastAsia" w:ascii="仿宋_GB2312" w:eastAsia="仿宋_GB2312"/>
          <w:bCs/>
          <w:sz w:val="32"/>
          <w:szCs w:val="32"/>
          <w:lang w:eastAsia="zh-CN"/>
        </w:rPr>
      </w:pPr>
      <w:r>
        <w:rPr>
          <w:rFonts w:hint="eastAsia" w:ascii="仿宋_GB2312" w:eastAsia="仿宋_GB2312"/>
          <w:bCs/>
          <w:sz w:val="32"/>
          <w:szCs w:val="32"/>
        </w:rPr>
        <w:t>1.</w:t>
      </w:r>
      <w:r>
        <w:rPr>
          <w:rFonts w:hint="eastAsia" w:ascii="仿宋_GB2312" w:eastAsia="仿宋_GB2312"/>
          <w:b/>
          <w:bCs w:val="0"/>
          <w:sz w:val="32"/>
          <w:szCs w:val="32"/>
        </w:rPr>
        <w:t>重大项目和重点项目</w:t>
      </w:r>
      <w:r>
        <w:rPr>
          <w:rFonts w:hint="eastAsia" w:ascii="仿宋_GB2312" w:eastAsia="仿宋_GB2312"/>
          <w:bCs/>
          <w:sz w:val="32"/>
          <w:szCs w:val="32"/>
        </w:rPr>
        <w:t>由学校提供经费支持</w:t>
      </w:r>
      <w:r>
        <w:rPr>
          <w:rFonts w:hint="eastAsia" w:ascii="仿宋_GB2312" w:eastAsia="仿宋_GB2312"/>
          <w:bCs/>
          <w:sz w:val="32"/>
          <w:szCs w:val="32"/>
          <w:lang w:eastAsia="zh-CN"/>
        </w:rPr>
        <w:t>，</w:t>
      </w:r>
      <w:r>
        <w:rPr>
          <w:rFonts w:hint="eastAsia" w:ascii="仿宋_GB2312" w:eastAsia="仿宋_GB2312"/>
          <w:bCs/>
          <w:sz w:val="32"/>
          <w:szCs w:val="32"/>
        </w:rPr>
        <w:t>按照审定额度全额拨付至项目负责人所在单位</w:t>
      </w:r>
      <w:r>
        <w:rPr>
          <w:rFonts w:hint="eastAsia" w:ascii="仿宋_GB2312" w:eastAsia="仿宋_GB2312"/>
          <w:bCs/>
          <w:sz w:val="32"/>
          <w:szCs w:val="32"/>
          <w:lang w:eastAsia="zh-CN"/>
        </w:rPr>
        <w:t>，</w:t>
      </w:r>
      <w:r>
        <w:rPr>
          <w:rFonts w:hint="eastAsia" w:ascii="仿宋_GB2312" w:eastAsia="仿宋_GB2312"/>
          <w:bCs/>
          <w:sz w:val="32"/>
          <w:szCs w:val="32"/>
        </w:rPr>
        <w:t>由所在单位、项目负责人按照《北京林业大学本科教育教学改革与研究项目管理办法（修订）》统筹经费使用。</w:t>
      </w: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2.</w:t>
      </w:r>
      <w:r>
        <w:rPr>
          <w:rFonts w:hint="eastAsia" w:ascii="仿宋_GB2312" w:eastAsia="仿宋_GB2312"/>
          <w:b/>
          <w:bCs w:val="0"/>
          <w:sz w:val="32"/>
          <w:szCs w:val="32"/>
        </w:rPr>
        <w:t>一般项目、课程思政专项和五育并举专项</w:t>
      </w:r>
      <w:r>
        <w:rPr>
          <w:rFonts w:hint="eastAsia" w:ascii="仿宋_GB2312" w:eastAsia="仿宋_GB2312"/>
          <w:bCs/>
          <w:sz w:val="32"/>
          <w:szCs w:val="32"/>
        </w:rPr>
        <w:t>需项目主持人或所在单位自筹经费，若在项目推进过程中，取得的相关教育教学成果确需研究经费进一步支持的，可申请追加项目经费，由项目负责人填写《北京林业大学教育教学改革与研究项目经费预算调整申请表》，并提交到教学院（部）予以审核和出具意见后，教务处组织论证，通过后予以批准追加。</w:t>
      </w:r>
    </w:p>
    <w:p>
      <w:pPr>
        <w:spacing w:line="540" w:lineRule="exact"/>
        <w:ind w:right="57" w:firstLine="640" w:firstLineChars="200"/>
        <w:rPr>
          <w:rFonts w:ascii="仿宋_GB2312" w:eastAsia="仿宋_GB2312"/>
          <w:bCs/>
          <w:sz w:val="32"/>
          <w:szCs w:val="32"/>
        </w:rPr>
      </w:pPr>
      <w:r>
        <w:rPr>
          <w:rFonts w:hint="eastAsia" w:ascii="仿宋_GB2312" w:eastAsia="仿宋_GB2312"/>
          <w:bCs/>
          <w:sz w:val="32"/>
          <w:szCs w:val="32"/>
        </w:rPr>
        <w:t>3</w:t>
      </w:r>
      <w:r>
        <w:rPr>
          <w:rFonts w:ascii="仿宋_GB2312" w:eastAsia="仿宋_GB2312"/>
          <w:bCs/>
          <w:sz w:val="32"/>
          <w:szCs w:val="32"/>
        </w:rPr>
        <w:t>.</w:t>
      </w:r>
      <w:r>
        <w:rPr>
          <w:rFonts w:hint="eastAsia" w:ascii="仿宋_GB2312" w:eastAsia="仿宋_GB2312"/>
          <w:bCs/>
          <w:sz w:val="32"/>
          <w:szCs w:val="32"/>
        </w:rPr>
        <w:t>教育教学改革与研究项目</w:t>
      </w:r>
      <w:r>
        <w:rPr>
          <w:rFonts w:ascii="仿宋_GB2312" w:eastAsia="仿宋_GB2312"/>
          <w:bCs/>
          <w:sz w:val="32"/>
          <w:szCs w:val="32"/>
        </w:rPr>
        <w:t>建设经费来源于</w:t>
      </w:r>
      <w:r>
        <w:rPr>
          <w:rFonts w:hint="eastAsia" w:ascii="仿宋_GB2312" w:eastAsia="仿宋_GB2312"/>
          <w:bCs/>
          <w:sz w:val="32"/>
          <w:szCs w:val="32"/>
        </w:rPr>
        <w:t>2023年“双一流”建设项目经费，属于</w:t>
      </w:r>
      <w:r>
        <w:rPr>
          <w:rFonts w:ascii="仿宋_GB2312" w:eastAsia="仿宋_GB2312"/>
          <w:bCs/>
          <w:sz w:val="32"/>
          <w:szCs w:val="32"/>
        </w:rPr>
        <w:t>国拨引导专项资金，</w:t>
      </w:r>
      <w:r>
        <w:rPr>
          <w:rFonts w:hint="eastAsia" w:ascii="仿宋_GB2312" w:eastAsia="仿宋_GB2312"/>
          <w:bCs/>
          <w:sz w:val="32"/>
          <w:szCs w:val="32"/>
        </w:rPr>
        <w:t>为提高学校教育教学改革与研究项目经费使用效益，学校将进一步规范</w:t>
      </w:r>
      <w:r>
        <w:rPr>
          <w:rFonts w:hint="eastAsia" w:ascii="仿宋_GB2312" w:eastAsia="仿宋_GB2312"/>
          <w:bCs/>
          <w:sz w:val="32"/>
          <w:szCs w:val="32"/>
          <w:lang w:val="en-US" w:eastAsia="zh-CN"/>
        </w:rPr>
        <w:t>并</w:t>
      </w:r>
      <w:r>
        <w:rPr>
          <w:rFonts w:hint="eastAsia" w:ascii="仿宋_GB2312" w:eastAsia="仿宋_GB2312"/>
          <w:bCs/>
          <w:sz w:val="32"/>
          <w:szCs w:val="32"/>
        </w:rPr>
        <w:t>加强经费管理</w:t>
      </w:r>
      <w:r>
        <w:rPr>
          <w:rFonts w:hint="eastAsia" w:ascii="仿宋_GB2312" w:eastAsia="仿宋_GB2312"/>
          <w:bCs/>
          <w:sz w:val="32"/>
          <w:szCs w:val="32"/>
          <w:lang w:eastAsia="zh-CN"/>
        </w:rPr>
        <w:t>，</w:t>
      </w:r>
      <w:r>
        <w:rPr>
          <w:rFonts w:hint="eastAsia" w:ascii="仿宋_GB2312" w:eastAsia="仿宋_GB2312"/>
          <w:bCs/>
          <w:sz w:val="32"/>
          <w:szCs w:val="32"/>
          <w:lang w:val="en-US" w:eastAsia="zh-CN"/>
        </w:rPr>
        <w:t>各单位和各项目研究团队</w:t>
      </w:r>
      <w:r>
        <w:rPr>
          <w:rFonts w:hint="eastAsia" w:ascii="仿宋_GB2312" w:eastAsia="仿宋_GB2312"/>
          <w:bCs/>
          <w:sz w:val="32"/>
          <w:szCs w:val="32"/>
        </w:rPr>
        <w:t>要遵照相关管理办法执行，</w:t>
      </w:r>
      <w:r>
        <w:rPr>
          <w:rFonts w:hint="eastAsia" w:ascii="仿宋_GB2312" w:eastAsia="仿宋_GB2312"/>
          <w:bCs/>
          <w:sz w:val="32"/>
          <w:szCs w:val="32"/>
          <w:lang w:val="en-US" w:eastAsia="zh-CN"/>
        </w:rPr>
        <w:t>对</w:t>
      </w:r>
      <w:r>
        <w:rPr>
          <w:rFonts w:hint="eastAsia" w:ascii="仿宋_GB2312" w:eastAsia="仿宋_GB2312"/>
          <w:bCs/>
          <w:sz w:val="32"/>
          <w:szCs w:val="32"/>
        </w:rPr>
        <w:t>通用办公设备费、市内交通费、劳务费等预算</w:t>
      </w:r>
      <w:r>
        <w:rPr>
          <w:rFonts w:hint="eastAsia" w:ascii="仿宋_GB2312" w:eastAsia="仿宋_GB2312"/>
          <w:bCs/>
          <w:sz w:val="32"/>
          <w:szCs w:val="32"/>
          <w:lang w:val="en-US" w:eastAsia="zh-CN"/>
        </w:rPr>
        <w:t>进行</w:t>
      </w:r>
      <w:r>
        <w:rPr>
          <w:rFonts w:hint="eastAsia" w:ascii="仿宋_GB2312" w:eastAsia="仿宋_GB2312"/>
          <w:bCs/>
          <w:sz w:val="32"/>
          <w:szCs w:val="32"/>
        </w:rPr>
        <w:t>严格控制</w:t>
      </w:r>
      <w:r>
        <w:rPr>
          <w:rFonts w:ascii="仿宋_GB2312" w:eastAsia="仿宋_GB2312"/>
          <w:bCs/>
          <w:sz w:val="32"/>
          <w:szCs w:val="32"/>
        </w:rPr>
        <w:t>。</w:t>
      </w:r>
    </w:p>
    <w:p>
      <w:pPr>
        <w:spacing w:line="540" w:lineRule="exact"/>
        <w:ind w:right="56" w:firstLine="640" w:firstLineChars="200"/>
        <w:rPr>
          <w:rFonts w:ascii="仿宋_GB2312" w:eastAsia="仿宋_GB2312"/>
          <w:bCs/>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小标宋">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">
          <v:path/>
          <v:fill on="f" focussize="0,0"/>
          <v:stroke on="f" joinstyle="miter"/>
          <v:imagedata o:title=""/>
          <o:lock v:ext="edit" text="t" aspectratio="t"/>
          <v:textbox inset="0mm,0mm,0mm,0mm" style="mso-fit-shape-to-text:t;">
            <w:txbxContent>
              <w:p>
                <w:pPr>
                  <w:pStyle w:val="5"/>
                </w:pPr>
                <w:r>
                  <w:fldChar w:fldCharType="begin"/>
                </w:r>
                <w:r>
                  <w:instrText xml:space="preserve"> PAGE  \* MERGEFORMAT </w:instrText>
                </w:r>
                <w:r>
                  <w:fldChar w:fldCharType="separate"/>
                </w:r>
                <w:r>
                  <w:t>6</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5NjQxZDQ1NjhhNDI2MmIxYzNhZGE0NTc0Y2U0YjgifQ=="/>
  </w:docVars>
  <w:rsids>
    <w:rsidRoot w:val="00BA49AE"/>
    <w:rsid w:val="000261F7"/>
    <w:rsid w:val="0005256F"/>
    <w:rsid w:val="0005497E"/>
    <w:rsid w:val="00056795"/>
    <w:rsid w:val="00067652"/>
    <w:rsid w:val="00096D0F"/>
    <w:rsid w:val="000A25FB"/>
    <w:rsid w:val="000F1363"/>
    <w:rsid w:val="001509D8"/>
    <w:rsid w:val="00161E3D"/>
    <w:rsid w:val="00165C93"/>
    <w:rsid w:val="00233B70"/>
    <w:rsid w:val="00245FAF"/>
    <w:rsid w:val="00256EDC"/>
    <w:rsid w:val="00267E55"/>
    <w:rsid w:val="002E0CDD"/>
    <w:rsid w:val="002E5C48"/>
    <w:rsid w:val="002F4D7C"/>
    <w:rsid w:val="00381255"/>
    <w:rsid w:val="003C4B17"/>
    <w:rsid w:val="003D23F0"/>
    <w:rsid w:val="003E0C65"/>
    <w:rsid w:val="004024D2"/>
    <w:rsid w:val="00435B50"/>
    <w:rsid w:val="00450E32"/>
    <w:rsid w:val="004953A7"/>
    <w:rsid w:val="004A10C0"/>
    <w:rsid w:val="004D0F3D"/>
    <w:rsid w:val="004D459C"/>
    <w:rsid w:val="004E2644"/>
    <w:rsid w:val="004E4DD9"/>
    <w:rsid w:val="005673A1"/>
    <w:rsid w:val="005A1AF2"/>
    <w:rsid w:val="005A4B09"/>
    <w:rsid w:val="005A6A90"/>
    <w:rsid w:val="00637AFE"/>
    <w:rsid w:val="00642C39"/>
    <w:rsid w:val="00653922"/>
    <w:rsid w:val="006E4A11"/>
    <w:rsid w:val="00722F07"/>
    <w:rsid w:val="007635AD"/>
    <w:rsid w:val="008057A9"/>
    <w:rsid w:val="00873499"/>
    <w:rsid w:val="00881120"/>
    <w:rsid w:val="008C2F5D"/>
    <w:rsid w:val="009324D7"/>
    <w:rsid w:val="00972799"/>
    <w:rsid w:val="009A150D"/>
    <w:rsid w:val="009A4F58"/>
    <w:rsid w:val="009C59AF"/>
    <w:rsid w:val="009F2F46"/>
    <w:rsid w:val="00A03AC4"/>
    <w:rsid w:val="00A10CC3"/>
    <w:rsid w:val="00A17E31"/>
    <w:rsid w:val="00A40DE1"/>
    <w:rsid w:val="00A63EF2"/>
    <w:rsid w:val="00A85AAB"/>
    <w:rsid w:val="00AF4E94"/>
    <w:rsid w:val="00AF6406"/>
    <w:rsid w:val="00BA49AE"/>
    <w:rsid w:val="00BD1E8D"/>
    <w:rsid w:val="00C31192"/>
    <w:rsid w:val="00C4634B"/>
    <w:rsid w:val="00C9224A"/>
    <w:rsid w:val="00D258D2"/>
    <w:rsid w:val="00D40EE3"/>
    <w:rsid w:val="00D52A86"/>
    <w:rsid w:val="00D744F8"/>
    <w:rsid w:val="00D816A0"/>
    <w:rsid w:val="00D97211"/>
    <w:rsid w:val="00DB3188"/>
    <w:rsid w:val="00DB567C"/>
    <w:rsid w:val="00E537E1"/>
    <w:rsid w:val="00E65A04"/>
    <w:rsid w:val="00EC6ECD"/>
    <w:rsid w:val="00ED1E5B"/>
    <w:rsid w:val="00ED238A"/>
    <w:rsid w:val="00EE200B"/>
    <w:rsid w:val="00FA2FF3"/>
    <w:rsid w:val="00FF2A3A"/>
    <w:rsid w:val="137C3440"/>
    <w:rsid w:val="141B5CB1"/>
    <w:rsid w:val="14CF3B54"/>
    <w:rsid w:val="19176336"/>
    <w:rsid w:val="196077C7"/>
    <w:rsid w:val="1C0C3B9D"/>
    <w:rsid w:val="1F926C7D"/>
    <w:rsid w:val="20B607C2"/>
    <w:rsid w:val="238C6E54"/>
    <w:rsid w:val="262308A7"/>
    <w:rsid w:val="27892284"/>
    <w:rsid w:val="2CB50FA9"/>
    <w:rsid w:val="2DBD067A"/>
    <w:rsid w:val="33417F51"/>
    <w:rsid w:val="337205E6"/>
    <w:rsid w:val="35B24265"/>
    <w:rsid w:val="3851626E"/>
    <w:rsid w:val="392F55EC"/>
    <w:rsid w:val="3C2E27B1"/>
    <w:rsid w:val="3C7A6C19"/>
    <w:rsid w:val="3CC57AF6"/>
    <w:rsid w:val="3D216E4D"/>
    <w:rsid w:val="3D891F51"/>
    <w:rsid w:val="41A245D5"/>
    <w:rsid w:val="42B31885"/>
    <w:rsid w:val="450B75C3"/>
    <w:rsid w:val="492D508E"/>
    <w:rsid w:val="49561F86"/>
    <w:rsid w:val="4AF9279A"/>
    <w:rsid w:val="4E62660F"/>
    <w:rsid w:val="50D47CE8"/>
    <w:rsid w:val="575F3023"/>
    <w:rsid w:val="57646BD8"/>
    <w:rsid w:val="596B5BD3"/>
    <w:rsid w:val="59F61B25"/>
    <w:rsid w:val="5D93483B"/>
    <w:rsid w:val="5EFF3A80"/>
    <w:rsid w:val="5F6E1AB2"/>
    <w:rsid w:val="5FE242B8"/>
    <w:rsid w:val="60764BC1"/>
    <w:rsid w:val="612A3F60"/>
    <w:rsid w:val="65646771"/>
    <w:rsid w:val="69A7729A"/>
    <w:rsid w:val="6A152CA1"/>
    <w:rsid w:val="6C870180"/>
    <w:rsid w:val="6F663255"/>
    <w:rsid w:val="73C01F16"/>
    <w:rsid w:val="7853030F"/>
    <w:rsid w:val="79D64F49"/>
    <w:rsid w:val="7CB42CA8"/>
    <w:rsid w:val="7EE7067B"/>
    <w:rsid w:val="7F121093"/>
    <w:rsid w:val="7FB41E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1"/>
    <w:rPr>
      <w:szCs w:val="32"/>
    </w:rPr>
  </w:style>
  <w:style w:type="paragraph" w:styleId="3">
    <w:name w:val="annotation text"/>
    <w:basedOn w:val="1"/>
    <w:semiHidden/>
    <w:unhideWhenUsed/>
    <w:uiPriority w:val="99"/>
    <w:pPr>
      <w:jc w:val="left"/>
    </w:pPr>
  </w:style>
  <w:style w:type="paragraph" w:styleId="4">
    <w:name w:val="Balloon Text"/>
    <w:basedOn w:val="1"/>
    <w:link w:val="11"/>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character" w:customStyle="1" w:styleId="11">
    <w:name w:val="批注框文本 字符"/>
    <w:basedOn w:val="8"/>
    <w:link w:val="4"/>
    <w:semiHidden/>
    <w:qFormat/>
    <w:uiPriority w:val="99"/>
    <w:rPr>
      <w:kern w:val="2"/>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2121</Words>
  <Characters>2143</Characters>
  <Lines>7</Lines>
  <Paragraphs>5</Paragraphs>
  <TotalTime>14</TotalTime>
  <ScaleCrop>false</ScaleCrop>
  <LinksUpToDate>false</LinksUpToDate>
  <CharactersWithSpaces>2145</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2023-07-25T02:37:00Z</dcterms:created>
  <dc:creator>lenovo</dc:creator>
  <cp:lastModifiedBy>崔璨</cp:lastModifiedBy>
  <cp:lastPrinted>2020-12-11T07:03:00Z</cp:lastPrinted>
  <dcterms:modified xsi:type="dcterms:W3CDTF">2023-07-25T07:15:58Z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E7382769C6954AFE8177E8D30CC78A03</vt:lpwstr>
  </property>
</Properties>
</file>