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390" w:rsidRDefault="006E1390" w:rsidP="006E1390">
      <w:pPr>
        <w:widowControl/>
        <w:shd w:val="clear" w:color="auto" w:fill="FFFFFF"/>
        <w:spacing w:line="700" w:lineRule="exact"/>
        <w:rPr>
          <w:rFonts w:ascii="黑体" w:eastAsia="黑体" w:hAnsi="黑体" w:cs="宋体"/>
          <w:bCs/>
          <w:color w:val="4B4B4B"/>
          <w:kern w:val="0"/>
          <w:sz w:val="32"/>
          <w:szCs w:val="32"/>
        </w:rPr>
      </w:pPr>
      <w:r w:rsidRPr="006E1390">
        <w:rPr>
          <w:rFonts w:ascii="黑体" w:eastAsia="黑体" w:hAnsi="黑体" w:cs="宋体" w:hint="eastAsia"/>
          <w:bCs/>
          <w:color w:val="4B4B4B"/>
          <w:kern w:val="0"/>
          <w:sz w:val="32"/>
          <w:szCs w:val="32"/>
        </w:rPr>
        <w:t>附件2</w:t>
      </w:r>
    </w:p>
    <w:p w:rsidR="006E1390" w:rsidRPr="006E1390" w:rsidRDefault="006E1390" w:rsidP="006E1390">
      <w:pPr>
        <w:widowControl/>
        <w:shd w:val="clear" w:color="auto" w:fill="FFFFFF"/>
        <w:spacing w:line="700" w:lineRule="exact"/>
        <w:rPr>
          <w:rFonts w:ascii="黑体" w:eastAsia="黑体" w:hAnsi="黑体" w:cs="宋体"/>
          <w:bCs/>
          <w:color w:val="4B4B4B"/>
          <w:kern w:val="0"/>
          <w:sz w:val="32"/>
          <w:szCs w:val="32"/>
        </w:rPr>
      </w:pPr>
      <w:bookmarkStart w:id="0" w:name="_GoBack"/>
      <w:bookmarkEnd w:id="0"/>
    </w:p>
    <w:p w:rsidR="00210DB6" w:rsidRPr="00210DB6" w:rsidRDefault="00210DB6" w:rsidP="00210DB6">
      <w:pPr>
        <w:widowControl/>
        <w:shd w:val="clear" w:color="auto" w:fill="FFFFFF"/>
        <w:spacing w:line="700" w:lineRule="exact"/>
        <w:jc w:val="center"/>
        <w:rPr>
          <w:rFonts w:ascii="小标宋" w:eastAsia="小标宋" w:hAnsi="仿宋" w:cs="宋体"/>
          <w:color w:val="4B4B4B"/>
          <w:kern w:val="0"/>
          <w:sz w:val="44"/>
          <w:szCs w:val="32"/>
        </w:rPr>
      </w:pPr>
      <w:r w:rsidRPr="00210DB6">
        <w:rPr>
          <w:rFonts w:ascii="小标宋" w:eastAsia="小标宋" w:hAnsi="仿宋" w:cs="宋体" w:hint="eastAsia"/>
          <w:bCs/>
          <w:color w:val="4B4B4B"/>
          <w:kern w:val="0"/>
          <w:sz w:val="44"/>
          <w:szCs w:val="32"/>
        </w:rPr>
        <w:t>“双万计划”国家级一流本科课程</w:t>
      </w:r>
    </w:p>
    <w:p w:rsidR="00210DB6" w:rsidRDefault="00210DB6" w:rsidP="00210DB6">
      <w:pPr>
        <w:widowControl/>
        <w:shd w:val="clear" w:color="auto" w:fill="FFFFFF"/>
        <w:spacing w:line="700" w:lineRule="exact"/>
        <w:jc w:val="center"/>
        <w:rPr>
          <w:rFonts w:ascii="小标宋" w:eastAsia="小标宋" w:hAnsi="仿宋" w:cs="宋体"/>
          <w:bCs/>
          <w:color w:val="4B4B4B"/>
          <w:kern w:val="0"/>
          <w:sz w:val="44"/>
          <w:szCs w:val="32"/>
        </w:rPr>
      </w:pPr>
      <w:r w:rsidRPr="00210DB6">
        <w:rPr>
          <w:rFonts w:ascii="小标宋" w:eastAsia="小标宋" w:hAnsi="仿宋" w:cs="宋体" w:hint="eastAsia"/>
          <w:bCs/>
          <w:color w:val="4B4B4B"/>
          <w:kern w:val="0"/>
          <w:sz w:val="44"/>
          <w:szCs w:val="32"/>
        </w:rPr>
        <w:t>推荐认定办法</w:t>
      </w:r>
    </w:p>
    <w:p w:rsidR="00210DB6" w:rsidRPr="00210DB6" w:rsidRDefault="00210DB6" w:rsidP="00210DB6">
      <w:pPr>
        <w:widowControl/>
        <w:shd w:val="clear" w:color="auto" w:fill="FFFFFF"/>
        <w:spacing w:line="540" w:lineRule="exact"/>
        <w:jc w:val="center"/>
        <w:rPr>
          <w:rFonts w:ascii="小标宋" w:eastAsia="小标宋" w:hAnsi="仿宋" w:cs="宋体"/>
          <w:color w:val="4B4B4B"/>
          <w:kern w:val="0"/>
          <w:sz w:val="44"/>
          <w:szCs w:val="32"/>
        </w:rPr>
      </w:pP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w:t>
      </w:r>
      <w:r w:rsidRPr="00210DB6">
        <w:rPr>
          <w:rFonts w:ascii="仿宋" w:eastAsia="仿宋" w:hAnsi="仿宋" w:cs="宋体" w:hint="eastAsia"/>
          <w:b/>
          <w:bCs/>
          <w:color w:val="4B4B4B"/>
          <w:kern w:val="0"/>
          <w:sz w:val="32"/>
          <w:szCs w:val="32"/>
        </w:rPr>
        <w:t>一、推荐范围</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普通本科高校纳入人才培养方案且设置学分的本科课程均可推荐，包括思想政治理论课、公共基础课、专业基础课、专业课以及通识课等独立设置的本科理论课程、实验课程和社会实践课程等。</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w:t>
      </w:r>
      <w:r w:rsidRPr="00210DB6">
        <w:rPr>
          <w:rFonts w:ascii="仿宋" w:eastAsia="仿宋" w:hAnsi="仿宋" w:cs="宋体" w:hint="eastAsia"/>
          <w:b/>
          <w:bCs/>
          <w:color w:val="4B4B4B"/>
          <w:kern w:val="0"/>
          <w:sz w:val="32"/>
          <w:szCs w:val="32"/>
        </w:rPr>
        <w:t>二、推荐类型与计划</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一）线上一流课程。即国家精品在线开放课程，突出优质、开放、共享，打造中国慕课品牌。完成4000门左右国家精品在线开放课程认定，构建内容更加丰富、结构更加合理、类别更加全面的国家级精品慕课体系。</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二）线下一流课程。主要指以面授为主的课程，以提升学生综合能力为重点，重塑课程内容，创新教学方法，打破课堂沉默状态，焕发课堂生机活力，较好发挥课堂教学主阵地、主渠道、主战场作用。认定4000门左右国家级线下一流课程。</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三）线上线下混合式一流课程。主要指基于慕课、专属在线课程（SPOC）或其他在线课程，运用适当的数字化教学工具，结合本校实际对校内课程进行改造，安排20%—50%的教学时间实施学生线上自主学习，与线下面授</w:t>
      </w:r>
      <w:r w:rsidRPr="00210DB6">
        <w:rPr>
          <w:rFonts w:ascii="仿宋" w:eastAsia="仿宋" w:hAnsi="仿宋" w:cs="宋体" w:hint="eastAsia"/>
          <w:color w:val="4B4B4B"/>
          <w:kern w:val="0"/>
          <w:sz w:val="32"/>
          <w:szCs w:val="32"/>
        </w:rPr>
        <w:lastRenderedPageBreak/>
        <w:t>有机结合开展翻转课堂、混合式教学，打造在线课程与本校课堂教学相融合的混合式“金课”。大力倡导基于国家精品在线开放课程应用的线上线下混合式优质课程申报。认定6000门左右国家级线上线下混合式一流课程。</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四）虚拟仿真实验教学一流课程。着力解决真实实验条件不具备或实际运行困难，涉及高危或极端环境，高成本、高消耗、不可逆操作、大型综合训练等问题。完成1500门左右国家虚拟仿真实验教学一流课程认定，形成专业布局合理、教学效果优良、开放共享有效的高等教育信息化实验教学体系。</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五）社会实践一流课程。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70%以上学时深入基层，保证课程规范化和可持续发展。认定1000门左右国家级社会实践一流课程。</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w:t>
      </w:r>
      <w:r w:rsidRPr="00210DB6">
        <w:rPr>
          <w:rFonts w:ascii="仿宋" w:eastAsia="仿宋" w:hAnsi="仿宋" w:cs="宋体" w:hint="eastAsia"/>
          <w:b/>
          <w:bCs/>
          <w:color w:val="4B4B4B"/>
          <w:kern w:val="0"/>
          <w:sz w:val="32"/>
          <w:szCs w:val="32"/>
        </w:rPr>
        <w:t>三、推荐条件</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推荐课程须至少经过两个学期或两个教学周期的建设和完善，取得实质性改革成效，在同类课程中具有鲜明特色、良好的教学效果，并承诺入选后将持续改进。符合相</w:t>
      </w:r>
      <w:r w:rsidRPr="00210DB6">
        <w:rPr>
          <w:rFonts w:ascii="仿宋" w:eastAsia="仿宋" w:hAnsi="仿宋" w:cs="宋体" w:hint="eastAsia"/>
          <w:color w:val="4B4B4B"/>
          <w:kern w:val="0"/>
          <w:sz w:val="32"/>
          <w:szCs w:val="32"/>
        </w:rPr>
        <w:lastRenderedPageBreak/>
        <w:t>关类型课程基本形态和特殊要求的同时，在以下多个方面具备实质性创新，有较大的借鉴和推广价值。</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（一）教学理念先进。坚持立德树人，体现以学生发展为中心，致力于开启学生内在潜力和学习动力，注重学生德智体美劳全面发展。</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二）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（三）课程目标有效支撑培养目标达成。课程目标符合学校办学定位和人才培养目标，注重知识、能力、素质培养。</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（四）课程教学设计科学合理。围绕目标达成、教学内容、组织实施和多元评价需求进行整体规划，教学策略、教学方法、教学过程、教学评价等设计合理。</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五）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（六）教学组织与实施突出学生中心地位。根据学生认知规律和接受特点，创新教与学模式，因材施教，促进师生之间、学生之间的交流互动、资源共享、知识生成，教学反馈及时，教学效果显著。</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lastRenderedPageBreak/>
        <w:t xml:space="preserve">　　（七）课程管理与评价科学且可测量。教师备课要求明确，学生学习管理严格。针对教学目标、教学内容、教学组织等采用多元化考核评价，过程可回溯，诊断改进积极有效。教学过程材料完整，可借鉴可监督。</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w:t>
      </w:r>
      <w:r w:rsidRPr="00210DB6">
        <w:rPr>
          <w:rFonts w:ascii="仿宋" w:eastAsia="仿宋" w:hAnsi="仿宋" w:cs="宋体" w:hint="eastAsia"/>
          <w:b/>
          <w:bCs/>
          <w:color w:val="4B4B4B"/>
          <w:kern w:val="0"/>
          <w:sz w:val="32"/>
          <w:szCs w:val="32"/>
        </w:rPr>
        <w:t>四、推荐方式</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除线上一流课程、虚拟仿真实验教学一流课程继续按有关文件实施外，线下一流课程、线上线下混合式一流课程和社会实践一流课程采用以下推荐方式。</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（一）推荐总额</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教育部按照国家级线下一流课程、线上线下混合式一流课程和社会实践一流课程三年计划总数确定推荐总额，分别下达至中央部门所属高校和各省级教育行政部门。</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（二）分赛道推荐</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按照中央部门所属高校、地方高校的办学定位和培养目标特点分赛道推荐，名额分列。部省合建高校推荐课程纳入中央部门所属高校赛道。</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（三）推荐方式</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中央部门所属高校、各省级教育行政部门根据教育部下达的三年推荐额度，在规定的年度上限数额内推荐。教育部直属高校直接报教育部，其他中央部门所属高校、部省合建高校经主管部门同意后报教育部；地方高校由省级教育行政部门统一报教育部。</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（四）推荐材料要求</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lastRenderedPageBreak/>
        <w:t xml:space="preserve">　　课程团队须提交申报书、时长10分钟内的说课视频（包括教学理念、课程设计、课程实施、改革成效等）和其他佐证材料。</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w:t>
      </w:r>
      <w:r w:rsidRPr="00210DB6">
        <w:rPr>
          <w:rFonts w:ascii="仿宋" w:eastAsia="仿宋" w:hAnsi="仿宋" w:cs="宋体" w:hint="eastAsia"/>
          <w:b/>
          <w:bCs/>
          <w:color w:val="4B4B4B"/>
          <w:kern w:val="0"/>
          <w:sz w:val="32"/>
          <w:szCs w:val="32"/>
        </w:rPr>
        <w:t>五、认定方式</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教育部分年度组织专家对推荐课程进行认定，经公示后向社会发布。对课程团队成员存在师德师风问题、学术不端问题、五年内出现过重大教学事故，课程内容存在思想性科学性问题的，实行一票否决。</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w:t>
      </w:r>
      <w:r w:rsidRPr="00210DB6">
        <w:rPr>
          <w:rFonts w:ascii="仿宋" w:eastAsia="仿宋" w:hAnsi="仿宋" w:cs="宋体" w:hint="eastAsia"/>
          <w:b/>
          <w:bCs/>
          <w:color w:val="4B4B4B"/>
          <w:kern w:val="0"/>
          <w:sz w:val="32"/>
          <w:szCs w:val="32"/>
        </w:rPr>
        <w:t>六、认定课程管理</w:t>
      </w:r>
    </w:p>
    <w:p w:rsidR="00210DB6" w:rsidRPr="00210DB6" w:rsidRDefault="00210DB6" w:rsidP="00210DB6">
      <w:pPr>
        <w:widowControl/>
        <w:shd w:val="clear" w:color="auto" w:fill="FFFFFF"/>
        <w:spacing w:line="540" w:lineRule="exact"/>
        <w:jc w:val="left"/>
        <w:rPr>
          <w:rFonts w:ascii="仿宋" w:eastAsia="仿宋" w:hAnsi="仿宋" w:cs="宋体"/>
          <w:color w:val="4B4B4B"/>
          <w:kern w:val="0"/>
          <w:sz w:val="32"/>
          <w:szCs w:val="32"/>
        </w:rPr>
      </w:pPr>
      <w:r w:rsidRPr="00210DB6">
        <w:rPr>
          <w:rFonts w:ascii="仿宋" w:eastAsia="仿宋" w:hAnsi="仿宋" w:cs="宋体" w:hint="eastAsia"/>
          <w:color w:val="4B4B4B"/>
          <w:kern w:val="0"/>
          <w:sz w:val="32"/>
          <w:szCs w:val="32"/>
        </w:rPr>
        <w:t xml:space="preserve">　　教育部对认定的国家级一流课程实施动态管理，对课程实际应用、教学效果和共享等进行跟踪监测。认定为国家级一流课程的课程须继续建设五年，其建设和改革成果在指定的网站上集中展示和分享，且定期更新资源和数据。对于未持续更新完善、出现严重质量问题、课程团队成员出现师德师风等问题的课程，将予以撤销。</w:t>
      </w:r>
    </w:p>
    <w:p w:rsidR="00F618F2" w:rsidRPr="00210DB6" w:rsidRDefault="00F618F2" w:rsidP="00210DB6">
      <w:pPr>
        <w:spacing w:line="540" w:lineRule="exact"/>
        <w:rPr>
          <w:rFonts w:ascii="仿宋" w:eastAsia="仿宋" w:hAnsi="仿宋"/>
          <w:sz w:val="32"/>
          <w:szCs w:val="32"/>
        </w:rPr>
      </w:pPr>
    </w:p>
    <w:sectPr w:rsidR="00F618F2" w:rsidRPr="00210D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FF7" w:rsidRDefault="00926FF7" w:rsidP="00210DB6">
      <w:r>
        <w:separator/>
      </w:r>
    </w:p>
  </w:endnote>
  <w:endnote w:type="continuationSeparator" w:id="0">
    <w:p w:rsidR="00926FF7" w:rsidRDefault="00926FF7" w:rsidP="00210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小标宋">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FF7" w:rsidRDefault="00926FF7" w:rsidP="00210DB6">
      <w:r>
        <w:separator/>
      </w:r>
    </w:p>
  </w:footnote>
  <w:footnote w:type="continuationSeparator" w:id="0">
    <w:p w:rsidR="00926FF7" w:rsidRDefault="00926FF7" w:rsidP="00210D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D29"/>
    <w:rsid w:val="00210DB6"/>
    <w:rsid w:val="004D0D29"/>
    <w:rsid w:val="005447FA"/>
    <w:rsid w:val="006E1390"/>
    <w:rsid w:val="00926FF7"/>
    <w:rsid w:val="00F61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0E6FED"/>
  <w15:chartTrackingRefBased/>
  <w15:docId w15:val="{87EB6E9D-C56F-4DC2-BB86-3D3B419F9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D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DB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10DB6"/>
    <w:rPr>
      <w:sz w:val="18"/>
      <w:szCs w:val="18"/>
    </w:rPr>
  </w:style>
  <w:style w:type="paragraph" w:styleId="a5">
    <w:name w:val="footer"/>
    <w:basedOn w:val="a"/>
    <w:link w:val="a6"/>
    <w:uiPriority w:val="99"/>
    <w:unhideWhenUsed/>
    <w:rsid w:val="00210DB6"/>
    <w:pPr>
      <w:tabs>
        <w:tab w:val="center" w:pos="4153"/>
        <w:tab w:val="right" w:pos="8306"/>
      </w:tabs>
      <w:snapToGrid w:val="0"/>
      <w:jc w:val="left"/>
    </w:pPr>
    <w:rPr>
      <w:sz w:val="18"/>
      <w:szCs w:val="18"/>
    </w:rPr>
  </w:style>
  <w:style w:type="character" w:customStyle="1" w:styleId="a6">
    <w:name w:val="页脚 字符"/>
    <w:basedOn w:val="a0"/>
    <w:link w:val="a5"/>
    <w:uiPriority w:val="99"/>
    <w:rsid w:val="00210DB6"/>
    <w:rPr>
      <w:sz w:val="18"/>
      <w:szCs w:val="18"/>
    </w:rPr>
  </w:style>
  <w:style w:type="paragraph" w:styleId="a7">
    <w:name w:val="List Paragraph"/>
    <w:basedOn w:val="a"/>
    <w:uiPriority w:val="34"/>
    <w:qFormat/>
    <w:rsid w:val="00210D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8099</dc:creator>
  <cp:keywords/>
  <dc:description/>
  <cp:lastModifiedBy>8099</cp:lastModifiedBy>
  <cp:revision>3</cp:revision>
  <dcterms:created xsi:type="dcterms:W3CDTF">2019-11-28T01:15:00Z</dcterms:created>
  <dcterms:modified xsi:type="dcterms:W3CDTF">2019-12-03T07:46:00Z</dcterms:modified>
</cp:coreProperties>
</file>