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7760A">
      <w:pPr>
        <w:jc w:val="center"/>
        <w:rPr>
          <w:rFonts w:hint="eastAsia" w:ascii="方正公文小标宋" w:hAnsi="方正公文小标宋" w:eastAsia="方正公文小标宋" w:cs="方正公文小标宋"/>
          <w:i w:val="0"/>
          <w:iCs w:val="0"/>
          <w:caps w:val="0"/>
          <w:color w:val="000000"/>
          <w:spacing w:val="0"/>
          <w:sz w:val="32"/>
          <w:szCs w:val="32"/>
          <w:shd w:val="clear" w:fill="FFFFFF"/>
        </w:rPr>
      </w:pPr>
      <w:r>
        <w:rPr>
          <w:rFonts w:hint="eastAsia" w:ascii="方正公文小标宋" w:hAnsi="方正公文小标宋" w:eastAsia="方正公文小标宋" w:cs="方正公文小标宋"/>
          <w:i w:val="0"/>
          <w:iCs w:val="0"/>
          <w:caps w:val="0"/>
          <w:color w:val="000000"/>
          <w:spacing w:val="0"/>
          <w:sz w:val="32"/>
          <w:szCs w:val="32"/>
          <w:shd w:val="clear" w:fill="FFFFFF"/>
        </w:rPr>
        <w:t>关于举办第十八届全国大学生节能减排社会实践与科技竞赛“康菲杯”产业赛道的通知</w:t>
      </w:r>
    </w:p>
    <w:p w14:paraId="0E300F14">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rPr>
      </w:pPr>
    </w:p>
    <w:p w14:paraId="549344F3">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rPr>
      </w:pPr>
      <w:r>
        <w:rPr>
          <w:rFonts w:hint="eastAsia" w:ascii="方正仿宋_GBK" w:hAnsi="方正仿宋_GBK" w:eastAsia="方正仿宋_GBK" w:cs="方正仿宋_GBK"/>
          <w:i w:val="0"/>
          <w:iCs w:val="0"/>
          <w:caps w:val="0"/>
          <w:color w:val="000000"/>
          <w:spacing w:val="0"/>
          <w:sz w:val="22"/>
          <w:szCs w:val="22"/>
          <w:highlight w:val="none"/>
          <w:shd w:val="clear" w:fill="FFFFFF"/>
        </w:rPr>
        <w:t>全国大学生节能减排社会实践与科技竞赛是由教育部高等学校能源动力类专业教学指导委员会指导，全国大学生节能减排社会实践与科技竞赛委员会主办的大学生课外科技作品和社会实践调查竞赛。该竞赛紧密围绕“双碳”战略目标等国家重大需求，在教育部的关怀指导和广大高校的积极协作下，已发展成为起点高、精品多、覆盖面广且影响力大的全国大学生实践创新活动。</w:t>
      </w:r>
      <w:r>
        <w:rPr>
          <w:rFonts w:hint="eastAsia" w:ascii="方正仿宋_GBK" w:hAnsi="方正仿宋_GBK" w:eastAsia="方正仿宋_GBK" w:cs="方正仿宋_GBK"/>
          <w:i w:val="0"/>
          <w:iCs w:val="0"/>
          <w:caps w:val="0"/>
          <w:color w:val="000000"/>
          <w:spacing w:val="0"/>
          <w:sz w:val="22"/>
          <w:szCs w:val="22"/>
          <w:shd w:val="clear" w:fill="FFFFFF"/>
        </w:rPr>
        <w:t>产业命题赛道原通知详见竞赛官方网站http://www.jienengjianpai.cn/Article.asp?ID=394。现发布产业命题赛道通知如下：</w:t>
      </w:r>
    </w:p>
    <w:p w14:paraId="4FD2D391">
      <w:pPr>
        <w:keepNext w:val="0"/>
        <w:keepLines w:val="0"/>
        <w:pageBreakBefore w:val="0"/>
        <w:widowControl w:val="0"/>
        <w:kinsoku/>
        <w:wordWrap/>
        <w:overflowPunct/>
        <w:topLinePunct w:val="0"/>
        <w:autoSpaceDE/>
        <w:autoSpaceDN/>
        <w:bidi w:val="0"/>
        <w:adjustRightInd w:val="0"/>
        <w:snapToGrid/>
        <w:ind w:firstLine="442" w:firstLineChars="200"/>
        <w:jc w:val="left"/>
        <w:textAlignment w:val="auto"/>
        <w:rPr>
          <w:rFonts w:hint="eastAsia" w:ascii="方正仿宋_GBK" w:hAnsi="方正仿宋_GBK" w:eastAsia="方正仿宋_GBK" w:cs="方正仿宋_GBK"/>
          <w:b/>
          <w:bCs/>
          <w:i w:val="0"/>
          <w:iCs w:val="0"/>
          <w:caps w:val="0"/>
          <w:color w:val="000000"/>
          <w:spacing w:val="0"/>
          <w:sz w:val="22"/>
          <w:szCs w:val="22"/>
          <w:shd w:val="clear" w:fill="FFFFFF"/>
          <w:lang w:val="en-US" w:eastAsia="zh-CN"/>
        </w:rPr>
      </w:pPr>
      <w:r>
        <w:rPr>
          <w:rFonts w:hint="eastAsia" w:ascii="方正仿宋_GBK" w:hAnsi="方正仿宋_GBK" w:eastAsia="方正仿宋_GBK" w:cs="方正仿宋_GBK"/>
          <w:b/>
          <w:bCs/>
          <w:i w:val="0"/>
          <w:iCs w:val="0"/>
          <w:caps w:val="0"/>
          <w:color w:val="000000"/>
          <w:spacing w:val="0"/>
          <w:sz w:val="22"/>
          <w:szCs w:val="22"/>
          <w:shd w:val="clear" w:fill="FFFFFF"/>
          <w:lang w:val="en-US" w:eastAsia="zh-CN"/>
        </w:rPr>
        <w:t>一、目标任务</w:t>
      </w:r>
    </w:p>
    <w:p w14:paraId="618DAFD2">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将大赛实践与产业发展有机结合，促进学生了解产业发展状况，协同解决企业发展技术难题，培养学生解决产业发展问题的能力。</w:t>
      </w:r>
    </w:p>
    <w:p w14:paraId="7C981686">
      <w:pPr>
        <w:keepNext w:val="0"/>
        <w:keepLines w:val="0"/>
        <w:pageBreakBefore w:val="0"/>
        <w:widowControl w:val="0"/>
        <w:kinsoku/>
        <w:wordWrap/>
        <w:overflowPunct/>
        <w:topLinePunct w:val="0"/>
        <w:autoSpaceDE/>
        <w:autoSpaceDN/>
        <w:bidi w:val="0"/>
        <w:adjustRightInd w:val="0"/>
        <w:snapToGrid/>
        <w:ind w:firstLine="442" w:firstLineChars="200"/>
        <w:jc w:val="left"/>
        <w:textAlignment w:val="auto"/>
        <w:rPr>
          <w:rFonts w:hint="eastAsia" w:ascii="方正仿宋_GBK" w:hAnsi="方正仿宋_GBK" w:eastAsia="方正仿宋_GBK" w:cs="方正仿宋_GBK"/>
          <w:b/>
          <w:bCs/>
          <w:i w:val="0"/>
          <w:iCs w:val="0"/>
          <w:caps w:val="0"/>
          <w:color w:val="000000"/>
          <w:spacing w:val="0"/>
          <w:sz w:val="22"/>
          <w:szCs w:val="22"/>
          <w:shd w:val="clear" w:fill="FFFFFF"/>
          <w:lang w:val="en-US" w:eastAsia="zh-CN"/>
        </w:rPr>
      </w:pPr>
      <w:r>
        <w:rPr>
          <w:rFonts w:hint="eastAsia" w:ascii="方正仿宋_GBK" w:hAnsi="方正仿宋_GBK" w:eastAsia="方正仿宋_GBK" w:cs="方正仿宋_GBK"/>
          <w:b/>
          <w:bCs/>
          <w:i w:val="0"/>
          <w:iCs w:val="0"/>
          <w:caps w:val="0"/>
          <w:color w:val="000000"/>
          <w:spacing w:val="0"/>
          <w:sz w:val="22"/>
          <w:szCs w:val="22"/>
          <w:shd w:val="clear" w:fill="FFFFFF"/>
          <w:lang w:val="en-US" w:eastAsia="zh-CN"/>
        </w:rPr>
        <w:t>二、产业命题</w:t>
      </w:r>
    </w:p>
    <w:p w14:paraId="6D6D0F53">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本次产业赛道旨在挖掘和培育能源行业节能减排、低碳发展领域的创新项目。参赛者需围绕“油气勘探、开发、运输及储存环节的节能减排”、“新能源与油气行业的协同发展”、“碳捕集、利用和封存(CCUS)技术”、“数字化与智能化技术在油气行业的应用”、“油气行业政策与市场机制”五大主题（具体见下表）进行深入研究和实践，提交具有创新性和实用性的作品。</w:t>
      </w:r>
    </w:p>
    <w:tbl>
      <w:tblPr>
        <w:tblStyle w:val="4"/>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1858"/>
        <w:gridCol w:w="6642"/>
      </w:tblGrid>
      <w:tr w14:paraId="4FBA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78" w:type="dxa"/>
            <w:vAlign w:val="center"/>
          </w:tcPr>
          <w:p w14:paraId="6CBB3F54">
            <w:pPr>
              <w:keepNext w:val="0"/>
              <w:keepLines w:val="0"/>
              <w:widowControl/>
              <w:suppressLineNumbers w:val="0"/>
              <w:spacing w:before="0" w:beforeAutospacing="0" w:after="0" w:afterAutospacing="0"/>
              <w:ind w:left="0" w:leftChars="0" w:right="0" w:rightChars="0"/>
              <w:jc w:val="center"/>
              <w:textAlignment w:val="baseline"/>
              <w:rPr>
                <w:rFonts w:hint="eastAsia" w:ascii="方正仿宋_GBK" w:hAnsi="方正仿宋_GBK" w:eastAsia="方正仿宋_GBK" w:cs="方正仿宋_GBK"/>
                <w:i w:val="0"/>
                <w:iCs w:val="0"/>
                <w:caps w:val="0"/>
                <w:color w:val="000000"/>
                <w:spacing w:val="0"/>
                <w:sz w:val="22"/>
                <w:szCs w:val="22"/>
                <w:shd w:val="clear" w:fill="FFFFFF"/>
                <w:vertAlign w:val="baseline"/>
                <w:lang w:val="en-US" w:eastAsia="zh-CN"/>
              </w:rPr>
            </w:pPr>
            <w:r>
              <w:rPr>
                <w:rFonts w:hint="eastAsia" w:ascii="宋体" w:hAnsi="宋体" w:eastAsia="宋体" w:cs="宋体"/>
                <w:i w:val="0"/>
                <w:iCs w:val="0"/>
                <w:caps w:val="0"/>
                <w:color w:val="000000"/>
                <w:spacing w:val="0"/>
                <w:kern w:val="0"/>
                <w:sz w:val="21"/>
                <w:szCs w:val="21"/>
                <w:vertAlign w:val="baseline"/>
                <w:lang w:val="en-US" w:eastAsia="zh-CN" w:bidi="ar"/>
              </w:rPr>
              <w:t>序号</w:t>
            </w:r>
          </w:p>
        </w:tc>
        <w:tc>
          <w:tcPr>
            <w:tcW w:w="1858" w:type="dxa"/>
            <w:vAlign w:val="center"/>
          </w:tcPr>
          <w:p w14:paraId="2B953FA5">
            <w:pPr>
              <w:keepNext w:val="0"/>
              <w:keepLines w:val="0"/>
              <w:widowControl/>
              <w:suppressLineNumbers w:val="0"/>
              <w:spacing w:before="0" w:beforeAutospacing="0" w:after="0" w:afterAutospacing="0"/>
              <w:ind w:left="0" w:leftChars="0" w:right="0" w:rightChars="0"/>
              <w:jc w:val="center"/>
              <w:textAlignment w:val="baseline"/>
              <w:rPr>
                <w:rFonts w:hint="eastAsia" w:ascii="方正仿宋_GBK" w:hAnsi="方正仿宋_GBK" w:eastAsia="方正仿宋_GBK" w:cs="方正仿宋_GBK"/>
                <w:i w:val="0"/>
                <w:iCs w:val="0"/>
                <w:caps w:val="0"/>
                <w:color w:val="000000"/>
                <w:spacing w:val="0"/>
                <w:sz w:val="22"/>
                <w:szCs w:val="22"/>
                <w:shd w:val="clear" w:fill="FFFFFF"/>
                <w:vertAlign w:val="baseline"/>
                <w:lang w:val="en-US" w:eastAsia="zh-CN"/>
              </w:rPr>
            </w:pPr>
            <w:r>
              <w:rPr>
                <w:rFonts w:hint="eastAsia" w:ascii="宋体" w:hAnsi="宋体" w:eastAsia="宋体" w:cs="宋体"/>
                <w:i w:val="0"/>
                <w:iCs w:val="0"/>
                <w:caps w:val="0"/>
                <w:color w:val="000000"/>
                <w:spacing w:val="0"/>
                <w:kern w:val="0"/>
                <w:sz w:val="21"/>
                <w:szCs w:val="21"/>
                <w:vertAlign w:val="baseline"/>
                <w:lang w:val="en-US" w:eastAsia="zh-CN" w:bidi="ar"/>
              </w:rPr>
              <w:t>主</w:t>
            </w:r>
            <w:r>
              <w:rPr>
                <w:rFonts w:hint="eastAsia" w:ascii="Times New Roman" w:hAnsi="Times New Roman" w:cs="Times New Roman" w:eastAsiaTheme="minorEastAsia"/>
                <w:i w:val="0"/>
                <w:iCs w:val="0"/>
                <w:caps w:val="0"/>
                <w:color w:val="000000"/>
                <w:spacing w:val="0"/>
                <w:kern w:val="0"/>
                <w:sz w:val="21"/>
                <w:szCs w:val="21"/>
                <w:vertAlign w:val="baseline"/>
                <w:lang w:val="en-US" w:eastAsia="zh-CN" w:bidi="ar"/>
              </w:rPr>
              <w:t> </w:t>
            </w:r>
            <w:r>
              <w:rPr>
                <w:rFonts w:hint="default" w:ascii="Times New Roman" w:hAnsi="Times New Roman" w:cs="Times New Roman" w:eastAsiaTheme="minorEastAsia"/>
                <w:i w:val="0"/>
                <w:iCs w:val="0"/>
                <w:caps w:val="0"/>
                <w:color w:val="000000"/>
                <w:spacing w:val="0"/>
                <w:kern w:val="0"/>
                <w:sz w:val="21"/>
                <w:szCs w:val="21"/>
                <w:vertAlign w:val="baseline"/>
                <w:lang w:val="en-US" w:eastAsia="zh-CN" w:bidi="ar"/>
              </w:rPr>
              <w:t> </w:t>
            </w:r>
            <w:r>
              <w:rPr>
                <w:rFonts w:hint="eastAsia" w:ascii="宋体" w:hAnsi="宋体" w:eastAsia="宋体" w:cs="宋体"/>
                <w:i w:val="0"/>
                <w:iCs w:val="0"/>
                <w:caps w:val="0"/>
                <w:color w:val="000000"/>
                <w:spacing w:val="0"/>
                <w:kern w:val="0"/>
                <w:sz w:val="21"/>
                <w:szCs w:val="21"/>
                <w:vertAlign w:val="baseline"/>
                <w:lang w:val="en-US" w:eastAsia="zh-CN" w:bidi="ar"/>
              </w:rPr>
              <w:t>题</w:t>
            </w:r>
          </w:p>
        </w:tc>
        <w:tc>
          <w:tcPr>
            <w:tcW w:w="6642" w:type="dxa"/>
            <w:vAlign w:val="center"/>
          </w:tcPr>
          <w:p w14:paraId="2C772871">
            <w:pPr>
              <w:keepNext w:val="0"/>
              <w:keepLines w:val="0"/>
              <w:widowControl/>
              <w:suppressLineNumbers w:val="0"/>
              <w:spacing w:before="0" w:beforeAutospacing="0" w:after="0" w:afterAutospacing="0"/>
              <w:ind w:left="0" w:leftChars="0" w:right="0" w:rightChars="0"/>
              <w:jc w:val="center"/>
              <w:textAlignment w:val="baseline"/>
              <w:rPr>
                <w:rFonts w:hint="eastAsia" w:ascii="方正仿宋_GBK" w:hAnsi="方正仿宋_GBK" w:eastAsia="方正仿宋_GBK" w:cs="方正仿宋_GBK"/>
                <w:i w:val="0"/>
                <w:iCs w:val="0"/>
                <w:caps w:val="0"/>
                <w:color w:val="000000"/>
                <w:spacing w:val="0"/>
                <w:sz w:val="22"/>
                <w:szCs w:val="22"/>
                <w:shd w:val="clear" w:fill="FFFFFF"/>
                <w:vertAlign w:val="baseline"/>
                <w:lang w:val="en-US" w:eastAsia="zh-CN"/>
              </w:rPr>
            </w:pPr>
            <w:r>
              <w:rPr>
                <w:rFonts w:hint="eastAsia" w:ascii="宋体" w:hAnsi="宋体" w:eastAsia="宋体" w:cs="宋体"/>
                <w:i w:val="0"/>
                <w:iCs w:val="0"/>
                <w:caps w:val="0"/>
                <w:color w:val="000000"/>
                <w:spacing w:val="0"/>
                <w:kern w:val="0"/>
                <w:sz w:val="21"/>
                <w:szCs w:val="21"/>
                <w:vertAlign w:val="baseline"/>
                <w:lang w:val="en-US" w:eastAsia="zh-CN" w:bidi="ar"/>
              </w:rPr>
              <w:t>内</w:t>
            </w:r>
            <w:r>
              <w:rPr>
                <w:rFonts w:hint="default" w:ascii="Times New Roman" w:hAnsi="Times New Roman" w:cs="Times New Roman" w:eastAsiaTheme="minorEastAsia"/>
                <w:i w:val="0"/>
                <w:iCs w:val="0"/>
                <w:caps w:val="0"/>
                <w:color w:val="000000"/>
                <w:spacing w:val="0"/>
                <w:kern w:val="0"/>
                <w:sz w:val="21"/>
                <w:szCs w:val="21"/>
                <w:vertAlign w:val="baseline"/>
                <w:lang w:val="en-US" w:eastAsia="zh-CN" w:bidi="ar"/>
              </w:rPr>
              <w:t>  </w:t>
            </w:r>
            <w:r>
              <w:rPr>
                <w:rFonts w:hint="eastAsia" w:ascii="宋体" w:hAnsi="宋体" w:eastAsia="宋体" w:cs="宋体"/>
                <w:i w:val="0"/>
                <w:iCs w:val="0"/>
                <w:caps w:val="0"/>
                <w:color w:val="000000"/>
                <w:spacing w:val="0"/>
                <w:kern w:val="0"/>
                <w:sz w:val="21"/>
                <w:szCs w:val="21"/>
                <w:vertAlign w:val="baseline"/>
                <w:lang w:val="en-US" w:eastAsia="zh-CN" w:bidi="ar"/>
              </w:rPr>
              <w:t>容</w:t>
            </w:r>
          </w:p>
        </w:tc>
      </w:tr>
      <w:tr w14:paraId="1E53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378" w:type="dxa"/>
            <w:vMerge w:val="restart"/>
            <w:vAlign w:val="center"/>
          </w:tcPr>
          <w:p w14:paraId="2C3D503B">
            <w:pPr>
              <w:keepNext w:val="0"/>
              <w:keepLines w:val="0"/>
              <w:pageBreakBefore w:val="0"/>
              <w:widowControl w:val="0"/>
              <w:kinsoku/>
              <w:wordWrap/>
              <w:overflowPunct/>
              <w:topLinePunct w:val="0"/>
              <w:autoSpaceDE/>
              <w:autoSpaceDN/>
              <w:bidi w:val="0"/>
              <w:adjustRightInd w:val="0"/>
              <w:snapToGrid/>
              <w:jc w:val="center"/>
              <w:textAlignment w:val="auto"/>
              <w:rPr>
                <w:rFonts w:hint="default"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t>1</w:t>
            </w:r>
          </w:p>
        </w:tc>
        <w:tc>
          <w:tcPr>
            <w:tcW w:w="1858" w:type="dxa"/>
            <w:vMerge w:val="restart"/>
            <w:vAlign w:val="bottom"/>
          </w:tcPr>
          <w:p w14:paraId="009335BD">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油气勘探</w:t>
            </w: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 </w:t>
            </w: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、开发</w:t>
            </w: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 </w:t>
            </w: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、运输及储存环节的节能减排</w:t>
            </w:r>
          </w:p>
          <w:p w14:paraId="1B25FE97">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Energy saving and emission reduction in oil and gas exploration, development, transportation, and storage</w:t>
            </w:r>
          </w:p>
        </w:tc>
        <w:tc>
          <w:tcPr>
            <w:tcW w:w="6642" w:type="dxa"/>
            <w:vAlign w:val="top"/>
          </w:tcPr>
          <w:p w14:paraId="20CCDBC6">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油气田勘探及开发中的绿色技术与低碳实践</w:t>
            </w:r>
          </w:p>
          <w:p w14:paraId="06F7D57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Times New Roman" w:hAnsi="Times New Roman" w:cs="Times New Roman"/>
                <w:i w:val="0"/>
                <w:iCs w:val="0"/>
                <w:caps w:val="0"/>
                <w:color w:val="000000"/>
                <w:spacing w:val="0"/>
                <w:sz w:val="18"/>
                <w:szCs w:val="18"/>
              </w:rPr>
              <w:t>Low carbon technologies and</w:t>
            </w:r>
            <w:r>
              <w:rPr>
                <w:rFonts w:hint="default" w:ascii="Times New Roman" w:hAnsi="Times New Roman" w:cs="Times New Roman"/>
                <w:i w:val="0"/>
                <w:iCs w:val="0"/>
                <w:caps w:val="0"/>
                <w:color w:val="000000"/>
                <w:spacing w:val="0"/>
                <w:sz w:val="18"/>
                <w:szCs w:val="18"/>
              </w:rPr>
              <w:t> </w:t>
            </w:r>
            <w:r>
              <w:rPr>
                <w:rFonts w:hint="default" w:ascii="Times New Roman" w:hAnsi="Times New Roman" w:cs="Times New Roman"/>
                <w:i w:val="0"/>
                <w:iCs w:val="0"/>
                <w:caps w:val="0"/>
                <w:color w:val="000000"/>
                <w:spacing w:val="-1"/>
                <w:sz w:val="18"/>
                <w:szCs w:val="18"/>
              </w:rPr>
              <w:t>practices in oil and</w:t>
            </w:r>
            <w:r>
              <w:rPr>
                <w:rFonts w:hint="default" w:ascii="Times New Roman" w:hAnsi="Times New Roman" w:cs="Times New Roman"/>
                <w:i w:val="0"/>
                <w:iCs w:val="0"/>
                <w:caps w:val="0"/>
                <w:color w:val="000000"/>
                <w:spacing w:val="7"/>
                <w:sz w:val="18"/>
                <w:szCs w:val="18"/>
              </w:rPr>
              <w:t> </w:t>
            </w:r>
            <w:r>
              <w:rPr>
                <w:rFonts w:hint="default" w:ascii="Times New Roman" w:hAnsi="Times New Roman" w:cs="Times New Roman"/>
                <w:i w:val="0"/>
                <w:iCs w:val="0"/>
                <w:caps w:val="0"/>
                <w:color w:val="000000"/>
                <w:spacing w:val="-1"/>
                <w:sz w:val="18"/>
                <w:szCs w:val="18"/>
              </w:rPr>
              <w:t>gas</w:t>
            </w:r>
            <w:r>
              <w:rPr>
                <w:rFonts w:hint="default" w:ascii="Times New Roman" w:hAnsi="Times New Roman" w:cs="Times New Roman"/>
                <w:i w:val="0"/>
                <w:iCs w:val="0"/>
                <w:caps w:val="0"/>
                <w:color w:val="000000"/>
                <w:spacing w:val="10"/>
                <w:sz w:val="18"/>
                <w:szCs w:val="18"/>
              </w:rPr>
              <w:t> </w:t>
            </w:r>
            <w:r>
              <w:rPr>
                <w:rFonts w:hint="default" w:ascii="Times New Roman" w:hAnsi="Times New Roman" w:cs="Times New Roman"/>
                <w:i w:val="0"/>
                <w:iCs w:val="0"/>
                <w:caps w:val="0"/>
                <w:color w:val="000000"/>
                <w:spacing w:val="-1"/>
                <w:sz w:val="18"/>
                <w:szCs w:val="18"/>
              </w:rPr>
              <w:t>field</w:t>
            </w:r>
            <w:r>
              <w:rPr>
                <w:rFonts w:hint="default" w:ascii="Times New Roman" w:hAnsi="Times New Roman" w:cs="Times New Roman"/>
                <w:i w:val="0"/>
                <w:iCs w:val="0"/>
                <w:caps w:val="0"/>
                <w:color w:val="000000"/>
                <w:spacing w:val="11"/>
                <w:sz w:val="18"/>
                <w:szCs w:val="18"/>
              </w:rPr>
              <w:t> </w:t>
            </w:r>
            <w:r>
              <w:rPr>
                <w:rFonts w:hint="default" w:ascii="Times New Roman" w:hAnsi="Times New Roman" w:cs="Times New Roman"/>
                <w:i w:val="0"/>
                <w:iCs w:val="0"/>
                <w:caps w:val="0"/>
                <w:color w:val="000000"/>
                <w:spacing w:val="-1"/>
                <w:sz w:val="18"/>
                <w:szCs w:val="18"/>
              </w:rPr>
              <w:t>exploration</w:t>
            </w:r>
            <w:r>
              <w:rPr>
                <w:rFonts w:hint="default" w:ascii="Times New Roman" w:hAnsi="Times New Roman" w:cs="Times New Roman"/>
                <w:i w:val="0"/>
                <w:iCs w:val="0"/>
                <w:caps w:val="0"/>
                <w:color w:val="000000"/>
                <w:spacing w:val="8"/>
                <w:sz w:val="18"/>
                <w:szCs w:val="18"/>
              </w:rPr>
              <w:t> </w:t>
            </w:r>
            <w:r>
              <w:rPr>
                <w:rFonts w:hint="default" w:ascii="Times New Roman" w:hAnsi="Times New Roman" w:cs="Times New Roman"/>
                <w:i w:val="0"/>
                <w:iCs w:val="0"/>
                <w:caps w:val="0"/>
                <w:color w:val="000000"/>
                <w:spacing w:val="-1"/>
                <w:sz w:val="18"/>
                <w:szCs w:val="18"/>
              </w:rPr>
              <w:t>and</w:t>
            </w:r>
            <w:r>
              <w:rPr>
                <w:rFonts w:hint="default" w:ascii="Times New Roman" w:hAnsi="Times New Roman" w:cs="Times New Roman"/>
                <w:i w:val="0"/>
                <w:iCs w:val="0"/>
                <w:caps w:val="0"/>
                <w:color w:val="000000"/>
                <w:spacing w:val="10"/>
                <w:sz w:val="18"/>
                <w:szCs w:val="18"/>
              </w:rPr>
              <w:t> </w:t>
            </w:r>
            <w:r>
              <w:rPr>
                <w:rFonts w:hint="default" w:ascii="Times New Roman" w:hAnsi="Times New Roman" w:cs="Times New Roman"/>
                <w:i w:val="0"/>
                <w:iCs w:val="0"/>
                <w:caps w:val="0"/>
                <w:color w:val="000000"/>
                <w:spacing w:val="-1"/>
                <w:sz w:val="18"/>
                <w:szCs w:val="18"/>
              </w:rPr>
              <w:t>development</w:t>
            </w:r>
          </w:p>
        </w:tc>
      </w:tr>
      <w:tr w14:paraId="6592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378" w:type="dxa"/>
            <w:vMerge w:val="continue"/>
            <w:vAlign w:val="center"/>
          </w:tcPr>
          <w:p w14:paraId="1E4AFF63">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76605F37">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top"/>
          </w:tcPr>
          <w:p w14:paraId="72D60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baseline"/>
              <w:rPr>
                <w:sz w:val="18"/>
                <w:szCs w:val="18"/>
              </w:rPr>
            </w:pPr>
            <w:r>
              <w:rPr>
                <w:rFonts w:hint="eastAsia" w:ascii="宋体" w:hAnsi="宋体" w:eastAsia="宋体" w:cs="宋体"/>
                <w:i w:val="0"/>
                <w:iCs w:val="0"/>
                <w:caps w:val="0"/>
                <w:color w:val="000000"/>
                <w:spacing w:val="-1"/>
                <w:kern w:val="0"/>
                <w:sz w:val="18"/>
                <w:szCs w:val="18"/>
                <w:vertAlign w:val="baseline"/>
                <w:lang w:val="en-US" w:eastAsia="zh-CN" w:bidi="ar"/>
              </w:rPr>
              <w:t>（2）</w:t>
            </w:r>
            <w:r>
              <w:rPr>
                <w:rFonts w:hint="eastAsia" w:ascii="宋体" w:hAnsi="宋体" w:eastAsia="宋体" w:cs="宋体"/>
                <w:i w:val="0"/>
                <w:iCs w:val="0"/>
                <w:caps w:val="0"/>
                <w:color w:val="000000"/>
                <w:spacing w:val="-2"/>
                <w:kern w:val="0"/>
                <w:sz w:val="18"/>
                <w:szCs w:val="18"/>
                <w:vertAlign w:val="baseline"/>
                <w:lang w:val="en-US" w:eastAsia="zh-CN" w:bidi="ar"/>
              </w:rPr>
              <w:t>高效低耗的油气开采技术与装备研发</w:t>
            </w:r>
          </w:p>
          <w:p w14:paraId="293CD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baseline"/>
              <w:rPr>
                <w:sz w:val="18"/>
                <w:szCs w:val="18"/>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Development of</w:t>
            </w:r>
            <w:r>
              <w:rPr>
                <w:rFonts w:hint="default" w:ascii="Times New Roman" w:hAnsi="Times New Roman" w:cs="Times New Roman" w:eastAsiaTheme="minorEastAsia"/>
                <w:i w:val="0"/>
                <w:iCs w:val="0"/>
                <w:caps w:val="0"/>
                <w:color w:val="000000"/>
                <w:spacing w:val="-14"/>
                <w:kern w:val="0"/>
                <w:sz w:val="18"/>
                <w:szCs w:val="18"/>
                <w:vertAlign w:val="baseline"/>
                <w:lang w:val="en-US" w:eastAsia="zh-CN" w:bidi="ar"/>
              </w:rPr>
              <w:t> </w:t>
            </w: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efficient and low-GHG emissions oil and</w:t>
            </w:r>
            <w:r>
              <w:rPr>
                <w:rFonts w:hint="default" w:ascii="Times New Roman" w:hAnsi="Times New Roman" w:cs="Times New Roman" w:eastAsiaTheme="minorEastAsia"/>
                <w:i w:val="0"/>
                <w:iCs w:val="0"/>
                <w:caps w:val="0"/>
                <w:color w:val="000000"/>
                <w:spacing w:val="9"/>
                <w:kern w:val="0"/>
                <w:sz w:val="18"/>
                <w:szCs w:val="18"/>
                <w:vertAlign w:val="baseline"/>
                <w:lang w:val="en-US" w:eastAsia="zh-CN" w:bidi="ar"/>
              </w:rPr>
              <w:t> </w:t>
            </w: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gas</w:t>
            </w:r>
            <w:r>
              <w:rPr>
                <w:rFonts w:hint="default" w:ascii="Times New Roman" w:hAnsi="Times New Roman" w:cs="Times New Roman" w:eastAsiaTheme="minorEastAsia"/>
                <w:i w:val="0"/>
                <w:iCs w:val="0"/>
                <w:caps w:val="0"/>
                <w:color w:val="000000"/>
                <w:spacing w:val="9"/>
                <w:kern w:val="0"/>
                <w:sz w:val="18"/>
                <w:szCs w:val="18"/>
                <w:vertAlign w:val="baseline"/>
                <w:lang w:val="en-US" w:eastAsia="zh-CN" w:bidi="ar"/>
              </w:rPr>
              <w:t> </w:t>
            </w: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e</w:t>
            </w:r>
            <w:r>
              <w:rPr>
                <w:rFonts w:hint="default" w:ascii="Times New Roman" w:hAnsi="Times New Roman" w:cs="Times New Roman" w:eastAsiaTheme="minorEastAsia"/>
                <w:i w:val="0"/>
                <w:iCs w:val="0"/>
                <w:caps w:val="0"/>
                <w:color w:val="000000"/>
                <w:spacing w:val="-1"/>
                <w:kern w:val="0"/>
                <w:sz w:val="18"/>
                <w:szCs w:val="18"/>
                <w:vertAlign w:val="baseline"/>
                <w:lang w:val="en-US" w:eastAsia="zh-CN" w:bidi="ar"/>
              </w:rPr>
              <w:t>xtraction technologies</w:t>
            </w:r>
            <w:r>
              <w:rPr>
                <w:rFonts w:hint="default" w:ascii="Times New Roman" w:hAnsi="Times New Roman" w:cs="Times New Roman" w:eastAsiaTheme="minorEastAsia"/>
                <w:i w:val="0"/>
                <w:iCs w:val="0"/>
                <w:caps w:val="0"/>
                <w:color w:val="000000"/>
                <w:spacing w:val="9"/>
                <w:kern w:val="0"/>
                <w:sz w:val="18"/>
                <w:szCs w:val="18"/>
                <w:vertAlign w:val="baseline"/>
                <w:lang w:val="en-US" w:eastAsia="zh-CN" w:bidi="ar"/>
              </w:rPr>
              <w:t> </w:t>
            </w:r>
            <w:r>
              <w:rPr>
                <w:rFonts w:hint="default" w:ascii="Times New Roman" w:hAnsi="Times New Roman" w:cs="Times New Roman" w:eastAsiaTheme="minorEastAsia"/>
                <w:i w:val="0"/>
                <w:iCs w:val="0"/>
                <w:caps w:val="0"/>
                <w:color w:val="000000"/>
                <w:spacing w:val="-1"/>
                <w:kern w:val="0"/>
                <w:sz w:val="18"/>
                <w:szCs w:val="18"/>
                <w:vertAlign w:val="baseline"/>
                <w:lang w:val="en-US" w:eastAsia="zh-CN" w:bidi="ar"/>
              </w:rPr>
              <w:t>and</w:t>
            </w: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 </w:t>
            </w:r>
            <w:r>
              <w:rPr>
                <w:rFonts w:hint="default" w:ascii="Times New Roman" w:hAnsi="Times New Roman" w:cs="Times New Roman" w:eastAsiaTheme="minorEastAsia"/>
                <w:i w:val="0"/>
                <w:iCs w:val="0"/>
                <w:caps w:val="0"/>
                <w:color w:val="000000"/>
                <w:spacing w:val="-2"/>
                <w:kern w:val="0"/>
                <w:sz w:val="18"/>
                <w:szCs w:val="18"/>
                <w:vertAlign w:val="baseline"/>
                <w:lang w:val="en-US" w:eastAsia="zh-CN" w:bidi="ar"/>
              </w:rPr>
              <w:t>equipment</w:t>
            </w:r>
          </w:p>
          <w:p w14:paraId="48FCC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hanging="420"/>
              <w:jc w:val="both"/>
              <w:textAlignment w:val="baseline"/>
              <w:rPr>
                <w:sz w:val="18"/>
                <w:szCs w:val="18"/>
              </w:rPr>
            </w:pPr>
            <w:r>
              <w:rPr>
                <w:rFonts w:ascii="Wingdings" w:hAnsi="Wingdings" w:cs="Wingdings" w:eastAsiaTheme="minorEastAsia"/>
                <w:i w:val="0"/>
                <w:iCs w:val="0"/>
                <w:caps w:val="0"/>
                <w:color w:val="000000"/>
                <w:spacing w:val="0"/>
                <w:kern w:val="0"/>
                <w:sz w:val="18"/>
                <w:szCs w:val="18"/>
                <w:vertAlign w:val="baseline"/>
                <w:lang w:val="en-US" w:eastAsia="zh-CN" w:bidi="ar"/>
              </w:rPr>
              <w:t>l </w:t>
            </w:r>
            <w:r>
              <w:rPr>
                <w:rFonts w:hint="eastAsia" w:ascii="宋体" w:hAnsi="宋体" w:eastAsia="宋体" w:cs="宋体"/>
                <w:i w:val="0"/>
                <w:iCs w:val="0"/>
                <w:caps w:val="0"/>
                <w:color w:val="000000"/>
                <w:spacing w:val="0"/>
                <w:kern w:val="0"/>
                <w:sz w:val="18"/>
                <w:szCs w:val="18"/>
                <w:vertAlign w:val="baseline"/>
                <w:lang w:val="en-US" w:eastAsia="zh-CN" w:bidi="ar"/>
              </w:rPr>
              <w:t>含硫化氢伴生气的高效处理与利用技术</w:t>
            </w:r>
          </w:p>
          <w:p w14:paraId="6DCF9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sz w:val="18"/>
                <w:szCs w:val="18"/>
              </w:rPr>
            </w:pPr>
            <w:r>
              <w:rPr>
                <w:rFonts w:hint="default" w:ascii="Times New Roman" w:hAnsi="Times New Roman" w:cs="Times New Roman" w:eastAsiaTheme="minorEastAsia"/>
                <w:i w:val="0"/>
                <w:iCs w:val="0"/>
                <w:caps w:val="0"/>
                <w:color w:val="000000"/>
                <w:spacing w:val="0"/>
                <w:kern w:val="0"/>
                <w:sz w:val="18"/>
                <w:szCs w:val="18"/>
                <w:lang w:val="en-US" w:eastAsia="zh-CN" w:bidi="ar"/>
              </w:rPr>
              <w:t>High cost-effective treatment technology for hydrogen sulfide removal in associated gas</w:t>
            </w:r>
          </w:p>
          <w:p w14:paraId="43E3D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hanging="420"/>
              <w:jc w:val="both"/>
              <w:textAlignment w:val="baseline"/>
              <w:rPr>
                <w:sz w:val="18"/>
                <w:szCs w:val="18"/>
              </w:rPr>
            </w:pPr>
            <w:r>
              <w:rPr>
                <w:rFonts w:hint="default" w:ascii="Wingdings" w:hAnsi="Wingdings" w:cs="Wingdings" w:eastAsiaTheme="minorEastAsia"/>
                <w:i w:val="0"/>
                <w:iCs w:val="0"/>
                <w:caps w:val="0"/>
                <w:color w:val="000000"/>
                <w:spacing w:val="-3"/>
                <w:kern w:val="0"/>
                <w:sz w:val="18"/>
                <w:szCs w:val="18"/>
                <w:vertAlign w:val="baseline"/>
                <w:lang w:val="en-US" w:eastAsia="zh-CN" w:bidi="ar"/>
              </w:rPr>
              <w:t>l </w:t>
            </w:r>
            <w:r>
              <w:rPr>
                <w:rFonts w:hint="eastAsia" w:ascii="宋体" w:hAnsi="宋体" w:eastAsia="宋体" w:cs="宋体"/>
                <w:i w:val="0"/>
                <w:iCs w:val="0"/>
                <w:caps w:val="0"/>
                <w:color w:val="000000"/>
                <w:spacing w:val="-3"/>
                <w:kern w:val="0"/>
                <w:sz w:val="18"/>
                <w:szCs w:val="18"/>
                <w:vertAlign w:val="baseline"/>
                <w:lang w:val="en-US" w:eastAsia="zh-CN" w:bidi="ar"/>
              </w:rPr>
              <w:t>蒸汽锅炉电气化</w:t>
            </w:r>
          </w:p>
          <w:p w14:paraId="70FA4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sz w:val="18"/>
                <w:szCs w:val="18"/>
              </w:rPr>
            </w:pPr>
            <w:r>
              <w:rPr>
                <w:rFonts w:hint="default" w:ascii="Times New Roman" w:hAnsi="Times New Roman" w:cs="Times New Roman" w:eastAsiaTheme="minorEastAsia"/>
                <w:i w:val="0"/>
                <w:iCs w:val="0"/>
                <w:caps w:val="0"/>
                <w:color w:val="000000"/>
                <w:spacing w:val="0"/>
                <w:kern w:val="0"/>
                <w:sz w:val="18"/>
                <w:szCs w:val="18"/>
                <w:lang w:val="en-US" w:eastAsia="zh-CN" w:bidi="ar"/>
              </w:rPr>
              <w:t>Electrification of steam generation boilers</w:t>
            </w:r>
          </w:p>
          <w:p w14:paraId="5397AA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hanging="420"/>
              <w:jc w:val="both"/>
              <w:textAlignment w:val="baseline"/>
              <w:rPr>
                <w:sz w:val="18"/>
                <w:szCs w:val="18"/>
              </w:rPr>
            </w:pPr>
            <w:r>
              <w:rPr>
                <w:rFonts w:hint="default" w:ascii="Wingdings" w:hAnsi="Wingdings" w:cs="Wingdings" w:eastAsiaTheme="minorEastAsia"/>
                <w:i w:val="0"/>
                <w:iCs w:val="0"/>
                <w:caps w:val="0"/>
                <w:color w:val="000000"/>
                <w:spacing w:val="-4"/>
                <w:kern w:val="0"/>
                <w:sz w:val="18"/>
                <w:szCs w:val="18"/>
                <w:vertAlign w:val="baseline"/>
                <w:lang w:val="en-US" w:eastAsia="zh-CN" w:bidi="ar"/>
              </w:rPr>
              <w:t>l </w:t>
            </w:r>
            <w:r>
              <w:rPr>
                <w:rFonts w:hint="eastAsia" w:ascii="宋体" w:hAnsi="宋体" w:eastAsia="宋体" w:cs="宋体"/>
                <w:i w:val="0"/>
                <w:iCs w:val="0"/>
                <w:caps w:val="0"/>
                <w:color w:val="000000"/>
                <w:spacing w:val="-4"/>
                <w:kern w:val="0"/>
                <w:sz w:val="18"/>
                <w:szCs w:val="18"/>
                <w:vertAlign w:val="baseline"/>
                <w:lang w:val="en-US" w:eastAsia="zh-CN" w:bidi="ar"/>
              </w:rPr>
              <w:t>电驱压裂关键技术及实践</w:t>
            </w:r>
          </w:p>
          <w:p w14:paraId="2CC5F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0"/>
                <w:sz w:val="18"/>
                <w:szCs w:val="18"/>
                <w:lang w:val="en-US" w:eastAsia="zh-CN" w:bidi="ar"/>
              </w:rPr>
              <w:t>Key technologies and practices of electric fracturing</w:t>
            </w:r>
          </w:p>
        </w:tc>
      </w:tr>
      <w:tr w14:paraId="2148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78" w:type="dxa"/>
            <w:vMerge w:val="continue"/>
            <w:vAlign w:val="center"/>
          </w:tcPr>
          <w:p w14:paraId="6D46BEFA">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3CD41F34">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top"/>
          </w:tcPr>
          <w:p w14:paraId="2DC9356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油气开发中水资源的节约与污染控制</w:t>
            </w:r>
          </w:p>
          <w:p w14:paraId="66AC8D0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Water saving and pollution control in oil and gas development</w:t>
            </w:r>
          </w:p>
        </w:tc>
      </w:tr>
      <w:tr w14:paraId="7089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78" w:type="dxa"/>
            <w:vMerge w:val="continue"/>
            <w:vAlign w:val="center"/>
          </w:tcPr>
          <w:p w14:paraId="26378778">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0A12B545">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top"/>
          </w:tcPr>
          <w:p w14:paraId="45B3DF9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海上油田生产设施温室气体排放实现经济碳中和的设想和主要路径</w:t>
            </w:r>
          </w:p>
          <w:p w14:paraId="621CF4C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0"/>
                <w:sz w:val="18"/>
                <w:szCs w:val="18"/>
                <w:lang w:val="en-US" w:eastAsia="zh-CN" w:bidi="ar"/>
              </w:rPr>
              <w:t>Economic pathway to net-zero for offshore oilfield production facilities</w:t>
            </w:r>
          </w:p>
        </w:tc>
      </w:tr>
      <w:tr w14:paraId="3834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784BAD1F">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24C8F900">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top"/>
          </w:tcPr>
          <w:p w14:paraId="154A806B">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海上油田生产设施的前期设计如何全面考虑全生命周期的节能减排</w:t>
            </w:r>
          </w:p>
          <w:p w14:paraId="2B794BD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Life-cycle energy saving and emission reduction in offshore oilfield facility front-end engineering design</w:t>
            </w:r>
          </w:p>
        </w:tc>
      </w:tr>
      <w:tr w14:paraId="0437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restart"/>
            <w:vAlign w:val="center"/>
          </w:tcPr>
          <w:p w14:paraId="3E0B5673">
            <w:pPr>
              <w:keepNext w:val="0"/>
              <w:keepLines w:val="0"/>
              <w:pageBreakBefore w:val="0"/>
              <w:widowControl w:val="0"/>
              <w:kinsoku/>
              <w:wordWrap/>
              <w:overflowPunct/>
              <w:topLinePunct w:val="0"/>
              <w:autoSpaceDE/>
              <w:autoSpaceDN/>
              <w:bidi w:val="0"/>
              <w:adjustRightInd w:val="0"/>
              <w:snapToGrid/>
              <w:jc w:val="center"/>
              <w:textAlignment w:val="auto"/>
              <w:rPr>
                <w:rFonts w:hint="default"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t>2</w:t>
            </w:r>
          </w:p>
        </w:tc>
        <w:tc>
          <w:tcPr>
            <w:tcW w:w="1858" w:type="dxa"/>
            <w:vMerge w:val="restart"/>
            <w:vAlign w:val="center"/>
          </w:tcPr>
          <w:p w14:paraId="3429F65E">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新能源与油气行业的协同发展</w:t>
            </w:r>
          </w:p>
          <w:p w14:paraId="23934387">
            <w:pPr>
              <w:keepNext w:val="0"/>
              <w:keepLines w:val="0"/>
              <w:widowControl/>
              <w:suppressLineNumbers w:val="0"/>
              <w:shd w:val="clear" w:fill="FFFFFF"/>
              <w:spacing w:before="0" w:beforeAutospacing="1" w:after="0" w:afterAutospacing="1"/>
              <w:ind w:left="0" w:right="0" w:firstLine="0"/>
              <w:jc w:val="cente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Integrated development of new energy and the oil and gas industry</w:t>
            </w:r>
          </w:p>
          <w:p w14:paraId="28A76CDC">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574D2F19">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油气田风光互补发电系统的设计与优化</w:t>
            </w:r>
          </w:p>
          <w:p w14:paraId="2239D19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jc w:val="both"/>
              <w:textAlignment w:val="baseline"/>
              <w:rPr>
                <w:rFonts w:hint="default" w:ascii="宋体" w:hAnsi="宋体" w:eastAsia="宋体" w:cs="宋体"/>
                <w:i w:val="0"/>
                <w:iCs w:val="0"/>
                <w:caps w:val="0"/>
                <w:color w:val="000000"/>
                <w:spacing w:val="-1"/>
                <w:kern w:val="0"/>
                <w:sz w:val="18"/>
                <w:szCs w:val="18"/>
                <w:vertAlign w:val="baseline"/>
                <w:lang w:val="en-US" w:eastAsia="zh-CN" w:bidi="ar"/>
              </w:rPr>
            </w:pPr>
            <w:r>
              <w:rPr>
                <w:rFonts w:hint="eastAsia" w:ascii="Times New Roman" w:hAnsi="Times New Roman" w:cs="Times New Roman" w:eastAsiaTheme="minorEastAsia"/>
                <w:i w:val="0"/>
                <w:iCs w:val="0"/>
                <w:caps w:val="0"/>
                <w:color w:val="000000"/>
                <w:spacing w:val="0"/>
                <w:kern w:val="0"/>
                <w:sz w:val="18"/>
                <w:szCs w:val="18"/>
                <w:vertAlign w:val="baseline"/>
                <w:lang w:val="en-US" w:eastAsia="zh-CN" w:bidi="ar"/>
              </w:rPr>
              <w:t>Design and optimization of wind-solar integrated power generation systems in oil and gas fields</w:t>
            </w:r>
          </w:p>
        </w:tc>
      </w:tr>
      <w:tr w14:paraId="1D06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152766C2">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1F68B959">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0942166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（2）氢及其衍生产品（氨醇等）在能源行业的应用与推广</w:t>
            </w:r>
          </w:p>
          <w:p w14:paraId="544985A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default" w:ascii="宋体" w:hAnsi="宋体" w:eastAsia="宋体" w:cs="宋体"/>
                <w:i w:val="0"/>
                <w:iCs w:val="0"/>
                <w:caps w:val="0"/>
                <w:color w:val="000000"/>
                <w:spacing w:val="-1"/>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Application of hydrogen and its derivatives (Ammonia, Methanol) in the energy industry</w:t>
            </w:r>
          </w:p>
        </w:tc>
      </w:tr>
      <w:tr w14:paraId="23C0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01185BEC">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3BDC3429">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1F63C93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（3）油气行业与可再生能源的协同发展模式</w:t>
            </w:r>
          </w:p>
          <w:p w14:paraId="2618082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default" w:ascii="宋体" w:hAnsi="宋体" w:eastAsia="宋体" w:cs="宋体"/>
                <w:i w:val="0"/>
                <w:iCs w:val="0"/>
                <w:caps w:val="0"/>
                <w:color w:val="000000"/>
                <w:spacing w:val="-1"/>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Integrated development models of the oil and gas industry and renewable energy</w:t>
            </w:r>
          </w:p>
        </w:tc>
      </w:tr>
      <w:tr w14:paraId="44A0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4B34829B">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49ECC3AB">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6EE021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eastAsia" w:ascii="宋体" w:hAnsi="宋体" w:eastAsia="宋体" w:cs="宋体"/>
                <w:i w:val="0"/>
                <w:iCs w:val="0"/>
                <w:caps w:val="0"/>
                <w:color w:val="000000"/>
                <w:spacing w:val="-1"/>
                <w:kern w:val="0"/>
                <w:sz w:val="18"/>
                <w:szCs w:val="18"/>
                <w:vertAlign w:val="baseline"/>
                <w:lang w:val="en-US" w:eastAsia="zh-CN" w:bidi="ar"/>
              </w:rPr>
            </w:pPr>
            <w:r>
              <w:rPr>
                <w:rFonts w:hint="eastAsia" w:ascii="宋体" w:hAnsi="宋体" w:eastAsia="宋体" w:cs="宋体"/>
                <w:i w:val="0"/>
                <w:iCs w:val="0"/>
                <w:caps w:val="0"/>
                <w:color w:val="000000"/>
                <w:spacing w:val="-1"/>
                <w:kern w:val="0"/>
                <w:sz w:val="18"/>
                <w:szCs w:val="18"/>
                <w:vertAlign w:val="baseline"/>
                <w:lang w:val="en-US" w:eastAsia="zh-CN" w:bidi="ar"/>
              </w:rPr>
              <w:t>（4）油气行业向综合能源供应商的路径设计</w:t>
            </w:r>
          </w:p>
          <w:p w14:paraId="482582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baseline"/>
              <w:rPr>
                <w:rFonts w:hint="default" w:ascii="宋体" w:hAnsi="宋体" w:eastAsia="宋体" w:cs="宋体"/>
                <w:i w:val="0"/>
                <w:iCs w:val="0"/>
                <w:caps w:val="0"/>
                <w:color w:val="000000"/>
                <w:spacing w:val="-1"/>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t>Pathway design for the oil and gas industry’s transition towards comprehensive energy suppliers</w:t>
            </w:r>
          </w:p>
        </w:tc>
      </w:tr>
      <w:tr w14:paraId="3766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restart"/>
            <w:vAlign w:val="center"/>
          </w:tcPr>
          <w:p w14:paraId="6B24C329">
            <w:pPr>
              <w:keepNext w:val="0"/>
              <w:keepLines w:val="0"/>
              <w:pageBreakBefore w:val="0"/>
              <w:widowControl w:val="0"/>
              <w:kinsoku/>
              <w:wordWrap/>
              <w:overflowPunct/>
              <w:topLinePunct w:val="0"/>
              <w:autoSpaceDE/>
              <w:autoSpaceDN/>
              <w:bidi w:val="0"/>
              <w:adjustRightInd w:val="0"/>
              <w:snapToGrid/>
              <w:jc w:val="center"/>
              <w:textAlignment w:val="auto"/>
              <w:rPr>
                <w:rFonts w:hint="default"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t>3</w:t>
            </w:r>
          </w:p>
        </w:tc>
        <w:tc>
          <w:tcPr>
            <w:tcW w:w="1858" w:type="dxa"/>
            <w:vMerge w:val="restart"/>
            <w:vAlign w:val="center"/>
          </w:tcPr>
          <w:p w14:paraId="6FD4C9FE">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碳捕集</w:t>
            </w: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 </w:t>
            </w: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、利用和封存</w:t>
            </w: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(CCUS)</w:t>
            </w: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技术</w:t>
            </w:r>
          </w:p>
          <w:p w14:paraId="5DB6ABB1">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Carbon capture, utilization, and storage (CCUS) technology</w:t>
            </w:r>
          </w:p>
        </w:tc>
        <w:tc>
          <w:tcPr>
            <w:tcW w:w="6642" w:type="dxa"/>
            <w:vAlign w:val="center"/>
          </w:tcPr>
          <w:p w14:paraId="42EA3827">
            <w:pPr>
              <w:pStyle w:val="2"/>
              <w:keepNext w:val="0"/>
              <w:keepLines w:val="0"/>
              <w:widowControl/>
              <w:numPr>
                <w:ilvl w:val="0"/>
                <w:numId w:val="4"/>
              </w:numPr>
              <w:suppressLineNumbers w:val="0"/>
              <w:spacing w:before="0" w:beforeAutospacing="0" w:after="0" w:afterAutospacing="0"/>
              <w:ind w:left="0" w:right="0"/>
              <w:textAlignment w:val="baseline"/>
              <w:rPr>
                <w:rFonts w:hint="eastAsia" w:ascii="宋体" w:hAnsi="宋体" w:eastAsia="宋体" w:cs="宋体"/>
                <w:i w:val="0"/>
                <w:iCs w:val="0"/>
                <w:caps w:val="0"/>
                <w:color w:val="000000"/>
                <w:spacing w:val="-3"/>
                <w:sz w:val="21"/>
                <w:szCs w:val="21"/>
                <w:vertAlign w:val="baseline"/>
              </w:rPr>
            </w:pPr>
            <w:r>
              <w:rPr>
                <w:rFonts w:hint="eastAsia" w:ascii="宋体" w:hAnsi="宋体" w:eastAsia="宋体" w:cs="宋体"/>
                <w:i w:val="0"/>
                <w:iCs w:val="0"/>
                <w:caps w:val="0"/>
                <w:color w:val="000000"/>
                <w:spacing w:val="-3"/>
                <w:sz w:val="21"/>
                <w:szCs w:val="21"/>
                <w:vertAlign w:val="baseline"/>
              </w:rPr>
              <w:t>油气行业</w:t>
            </w:r>
            <w:r>
              <w:rPr>
                <w:rFonts w:hint="eastAsia" w:ascii="Times New Roman" w:hAnsi="Times New Roman" w:cs="Times New Roman"/>
                <w:i w:val="0"/>
                <w:iCs w:val="0"/>
                <w:caps w:val="0"/>
                <w:color w:val="000000"/>
                <w:spacing w:val="-3"/>
                <w:sz w:val="21"/>
                <w:szCs w:val="21"/>
                <w:vertAlign w:val="baseline"/>
              </w:rPr>
              <w:t> </w:t>
            </w:r>
            <w:r>
              <w:rPr>
                <w:rFonts w:hint="default" w:ascii="Times New Roman" w:hAnsi="Times New Roman" w:cs="Times New Roman"/>
                <w:i w:val="0"/>
                <w:iCs w:val="0"/>
                <w:caps w:val="0"/>
                <w:color w:val="000000"/>
                <w:spacing w:val="-3"/>
                <w:sz w:val="21"/>
                <w:szCs w:val="21"/>
                <w:vertAlign w:val="baseline"/>
              </w:rPr>
              <w:t>CCUS </w:t>
            </w:r>
            <w:r>
              <w:rPr>
                <w:rFonts w:hint="eastAsia" w:ascii="宋体" w:hAnsi="宋体" w:eastAsia="宋体" w:cs="宋体"/>
                <w:i w:val="0"/>
                <w:iCs w:val="0"/>
                <w:caps w:val="0"/>
                <w:color w:val="000000"/>
                <w:spacing w:val="-3"/>
                <w:sz w:val="21"/>
                <w:szCs w:val="21"/>
                <w:vertAlign w:val="baseline"/>
              </w:rPr>
              <w:t>技术的创新与应用</w:t>
            </w:r>
          </w:p>
          <w:p w14:paraId="6B322F5E">
            <w:pPr>
              <w:pStyle w:val="2"/>
              <w:keepNext w:val="0"/>
              <w:keepLines w:val="0"/>
              <w:widowControl/>
              <w:numPr>
                <w:ilvl w:val="0"/>
                <w:numId w:val="0"/>
              </w:numPr>
              <w:suppressLineNumbers w:val="0"/>
              <w:spacing w:before="0" w:beforeAutospacing="0" w:after="0" w:afterAutospacing="0"/>
              <w:ind w:right="0" w:rightChars="0"/>
              <w:textAlignment w:val="baseline"/>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Innovation and application of CCUS technology in the oil and gas industry</w:t>
            </w:r>
          </w:p>
        </w:tc>
      </w:tr>
      <w:tr w14:paraId="2049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29C93E61">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2B2E0917">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39A5EF7A">
            <w:pPr>
              <w:keepNext w:val="0"/>
              <w:keepLines w:val="0"/>
              <w:widowControl/>
              <w:numPr>
                <w:ilvl w:val="0"/>
                <w:numId w:val="4"/>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2"/>
                <w:kern w:val="0"/>
                <w:sz w:val="21"/>
                <w:szCs w:val="21"/>
                <w:vertAlign w:val="baseline"/>
                <w:lang w:val="en-US" w:eastAsia="zh-CN" w:bidi="ar"/>
              </w:rPr>
            </w:pPr>
            <w:r>
              <w:rPr>
                <w:rFonts w:hint="eastAsia" w:ascii="宋体" w:hAnsi="宋体" w:eastAsia="宋体" w:cs="宋体"/>
                <w:i w:val="0"/>
                <w:iCs w:val="0"/>
                <w:caps w:val="0"/>
                <w:color w:val="000000"/>
                <w:spacing w:val="-2"/>
                <w:kern w:val="0"/>
                <w:sz w:val="21"/>
                <w:szCs w:val="21"/>
                <w:vertAlign w:val="baseline"/>
                <w:lang w:val="en-US" w:eastAsia="zh-CN" w:bidi="ar"/>
              </w:rPr>
              <w:t>二氧化碳驱油技术的优化与推广</w:t>
            </w:r>
          </w:p>
          <w:p w14:paraId="5F8B411A">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Optimization and application of CO2-enhanced oil recovery technology</w:t>
            </w:r>
          </w:p>
        </w:tc>
      </w:tr>
      <w:tr w14:paraId="3626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3C917862">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005FA400">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63B3FA6E">
            <w:pPr>
              <w:keepNext w:val="0"/>
              <w:keepLines w:val="0"/>
              <w:widowControl/>
              <w:numPr>
                <w:ilvl w:val="0"/>
                <w:numId w:val="4"/>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油气行业碳捕集与封存的经济性分析</w:t>
            </w:r>
          </w:p>
          <w:p w14:paraId="3B88168A">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Economic analysis of CCS in the oil and gas industry</w:t>
            </w:r>
          </w:p>
        </w:tc>
      </w:tr>
      <w:tr w14:paraId="0939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7A924371">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4602EA78">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5323A8F6">
            <w:pPr>
              <w:keepNext w:val="0"/>
              <w:keepLines w:val="0"/>
              <w:widowControl/>
              <w:numPr>
                <w:ilvl w:val="0"/>
                <w:numId w:val="4"/>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油气行业碳中和路径设计与实践</w:t>
            </w:r>
          </w:p>
          <w:p w14:paraId="1204A2D3">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18"/>
                <w:szCs w:val="18"/>
                <w:vertAlign w:val="baseline"/>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Pathway design and practice for carbon neutrality in the oil and gas industry</w:t>
            </w:r>
          </w:p>
        </w:tc>
      </w:tr>
      <w:tr w14:paraId="4AA8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restart"/>
            <w:vAlign w:val="center"/>
          </w:tcPr>
          <w:p w14:paraId="3603F874">
            <w:pPr>
              <w:keepNext w:val="0"/>
              <w:keepLines w:val="0"/>
              <w:pageBreakBefore w:val="0"/>
              <w:widowControl w:val="0"/>
              <w:kinsoku/>
              <w:wordWrap/>
              <w:overflowPunct/>
              <w:topLinePunct w:val="0"/>
              <w:autoSpaceDE/>
              <w:autoSpaceDN/>
              <w:bidi w:val="0"/>
              <w:adjustRightInd w:val="0"/>
              <w:snapToGrid/>
              <w:jc w:val="center"/>
              <w:textAlignment w:val="auto"/>
              <w:rPr>
                <w:rFonts w:hint="default"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t>4</w:t>
            </w:r>
          </w:p>
        </w:tc>
        <w:tc>
          <w:tcPr>
            <w:tcW w:w="1858" w:type="dxa"/>
            <w:vMerge w:val="restart"/>
            <w:vAlign w:val="center"/>
          </w:tcPr>
          <w:p w14:paraId="6A88E8A6">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数字化与智能化技术在油气行业的应用</w:t>
            </w:r>
          </w:p>
          <w:p w14:paraId="3807D68D">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p>
          <w:p w14:paraId="639EF6C1">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Application of digital and AI technologies in the oil and gas industry</w:t>
            </w:r>
          </w:p>
        </w:tc>
        <w:tc>
          <w:tcPr>
            <w:tcW w:w="6642" w:type="dxa"/>
            <w:vAlign w:val="center"/>
          </w:tcPr>
          <w:p w14:paraId="2AF7B1D4">
            <w:pPr>
              <w:keepNext w:val="0"/>
              <w:keepLines w:val="0"/>
              <w:widowControl/>
              <w:numPr>
                <w:ilvl w:val="0"/>
                <w:numId w:val="5"/>
              </w:numPr>
              <w:suppressLineNumbers w:val="0"/>
              <w:spacing w:before="0" w:beforeAutospacing="0" w:after="0" w:afterAutospacing="0"/>
              <w:ind w:left="0" w:right="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基于大数据与人工智能的油气生产能耗优化</w:t>
            </w:r>
          </w:p>
          <w:p w14:paraId="4C94A19B">
            <w:pPr>
              <w:keepNext w:val="0"/>
              <w:keepLines w:val="0"/>
              <w:widowControl/>
              <w:numPr>
                <w:ilvl w:val="0"/>
                <w:numId w:val="0"/>
              </w:numPr>
              <w:suppressLineNumbers w:val="0"/>
              <w:spacing w:before="0" w:beforeAutospacing="0" w:after="0" w:afterAutospacing="0"/>
              <w:ind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eastAsia" w:ascii="Times New Roman" w:hAnsi="Times New Roman" w:cs="Times New Roman" w:eastAsiaTheme="minorEastAsia"/>
                <w:i w:val="0"/>
                <w:iCs w:val="0"/>
                <w:caps w:val="0"/>
                <w:color w:val="000000"/>
                <w:spacing w:val="0"/>
                <w:kern w:val="0"/>
                <w:sz w:val="21"/>
                <w:szCs w:val="21"/>
                <w:lang w:val="en-US" w:eastAsia="zh-CN" w:bidi="ar"/>
              </w:rPr>
              <w:t>Optimization of energy efficiency in oil and gas production based on big data and AI</w:t>
            </w:r>
          </w:p>
        </w:tc>
      </w:tr>
      <w:tr w14:paraId="2684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695A7D92">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41160AD6">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43C90739">
            <w:pPr>
              <w:keepNext w:val="0"/>
              <w:keepLines w:val="0"/>
              <w:widowControl/>
              <w:numPr>
                <w:ilvl w:val="0"/>
                <w:numId w:val="5"/>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油气田智能化管理系统的设计与应用</w:t>
            </w:r>
          </w:p>
          <w:p w14:paraId="119A4C24">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Design and application of intelligent management systems in oil and gas fields</w:t>
            </w:r>
          </w:p>
        </w:tc>
      </w:tr>
      <w:tr w14:paraId="42D2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202E5183">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22F0E04E">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6BE5FE9D">
            <w:pPr>
              <w:keepNext w:val="0"/>
              <w:keepLines w:val="0"/>
              <w:widowControl/>
              <w:numPr>
                <w:ilvl w:val="0"/>
                <w:numId w:val="5"/>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数字孪生技术在油气设施节能减排中的应用</w:t>
            </w:r>
          </w:p>
          <w:p w14:paraId="495C7A65">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Application of digital twin technology in energy saving and emission reduction of oil and gas facilities</w:t>
            </w:r>
          </w:p>
        </w:tc>
      </w:tr>
      <w:tr w14:paraId="1FC8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39862E5D">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718F7318">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59A0EBDF">
            <w:pPr>
              <w:keepNext w:val="0"/>
              <w:keepLines w:val="0"/>
              <w:widowControl/>
              <w:numPr>
                <w:ilvl w:val="0"/>
                <w:numId w:val="5"/>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全油田监测排放系统</w:t>
            </w:r>
          </w:p>
          <w:p w14:paraId="31543CCD">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Comprehensive oilfield emission monitoring system</w:t>
            </w:r>
          </w:p>
        </w:tc>
      </w:tr>
      <w:tr w14:paraId="34A6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restart"/>
            <w:vAlign w:val="center"/>
          </w:tcPr>
          <w:p w14:paraId="7896C5E8">
            <w:pPr>
              <w:keepNext w:val="0"/>
              <w:keepLines w:val="0"/>
              <w:pageBreakBefore w:val="0"/>
              <w:widowControl w:val="0"/>
              <w:kinsoku/>
              <w:wordWrap/>
              <w:overflowPunct/>
              <w:topLinePunct w:val="0"/>
              <w:autoSpaceDE/>
              <w:autoSpaceDN/>
              <w:bidi w:val="0"/>
              <w:adjustRightInd w:val="0"/>
              <w:snapToGrid/>
              <w:jc w:val="center"/>
              <w:textAlignment w:val="auto"/>
              <w:rPr>
                <w:rFonts w:hint="default" w:ascii="方正仿宋_GBK" w:hAnsi="方正仿宋_GBK" w:eastAsia="方正仿宋_GBK" w:cs="方正仿宋_GBK"/>
                <w:i w:val="0"/>
                <w:iCs w:val="0"/>
                <w:caps w:val="0"/>
                <w:color w:val="000000"/>
                <w:spacing w:val="0"/>
                <w:sz w:val="18"/>
                <w:szCs w:val="18"/>
                <w:shd w:val="clear" w:fill="FFFFFF"/>
                <w:vertAlign w:val="baseline"/>
                <w:lang w:val="en-US" w:eastAsia="zh-CN"/>
              </w:rPr>
            </w:pPr>
            <w:r>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t>5</w:t>
            </w:r>
          </w:p>
        </w:tc>
        <w:tc>
          <w:tcPr>
            <w:tcW w:w="1858" w:type="dxa"/>
            <w:vMerge w:val="restart"/>
            <w:vAlign w:val="center"/>
          </w:tcPr>
          <w:p w14:paraId="769956E1">
            <w:pPr>
              <w:keepNext w:val="0"/>
              <w:keepLines w:val="0"/>
              <w:widowControl/>
              <w:suppressLineNumbers w:val="0"/>
              <w:shd w:val="clear" w:fill="FFFFFF"/>
              <w:spacing w:before="0" w:beforeAutospacing="0" w:after="0" w:afterAutospacing="0"/>
              <w:ind w:left="0" w:right="0" w:firstLine="0"/>
              <w:jc w:val="center"/>
              <w:textAlignment w:val="baseline"/>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eastAsia" w:ascii="Times New Roman" w:hAnsi="Times New Roman" w:cs="Times New Roman" w:eastAsiaTheme="minorEastAsia"/>
                <w:i w:val="0"/>
                <w:iCs w:val="0"/>
                <w:caps w:val="0"/>
                <w:color w:val="000000"/>
                <w:spacing w:val="0"/>
                <w:kern w:val="2"/>
                <w:sz w:val="18"/>
                <w:szCs w:val="18"/>
                <w:shd w:val="clear" w:fill="FFFFFF"/>
                <w:lang w:val="en-US" w:eastAsia="zh-CN" w:bidi="ar-SA"/>
              </w:rPr>
              <w:t>油气行业政策与市场机制</w:t>
            </w:r>
          </w:p>
          <w:p w14:paraId="0E4E3D64">
            <w:pPr>
              <w:keepNext w:val="0"/>
              <w:keepLines w:val="0"/>
              <w:widowControl/>
              <w:suppressLineNumbers w:val="0"/>
              <w:shd w:val="clear" w:fill="FFFFFF"/>
              <w:spacing w:before="0" w:beforeAutospacing="0" w:after="0" w:afterAutospacing="0"/>
              <w:ind w:left="0" w:right="0" w:firstLine="0"/>
              <w:jc w:val="center"/>
              <w:textAlignment w:val="baseline"/>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pPr>
            <w:r>
              <w:rPr>
                <w:rFonts w:hint="default" w:ascii="Times New Roman" w:hAnsi="Times New Roman" w:cs="Times New Roman" w:eastAsiaTheme="minorEastAsia"/>
                <w:i w:val="0"/>
                <w:iCs w:val="0"/>
                <w:caps w:val="0"/>
                <w:color w:val="000000"/>
                <w:spacing w:val="0"/>
                <w:kern w:val="2"/>
                <w:sz w:val="18"/>
                <w:szCs w:val="18"/>
                <w:shd w:val="clear" w:fill="FFFFFF"/>
                <w:lang w:val="en-US" w:eastAsia="zh-CN" w:bidi="ar-SA"/>
              </w:rPr>
              <w:t>Policies and market mechanisms in the oil and gas industry</w:t>
            </w:r>
          </w:p>
          <w:p w14:paraId="08F038C1">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12A13C7C">
            <w:pPr>
              <w:keepNext w:val="0"/>
              <w:keepLines w:val="0"/>
              <w:widowControl/>
              <w:numPr>
                <w:ilvl w:val="0"/>
                <w:numId w:val="6"/>
              </w:numPr>
              <w:suppressLineNumbers w:val="0"/>
              <w:spacing w:before="0" w:beforeAutospacing="0" w:after="0" w:afterAutospacing="0"/>
              <w:ind w:left="0" w:right="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碳交易市场对油气行业减排的激励作用</w:t>
            </w:r>
          </w:p>
          <w:p w14:paraId="4E4C1F1B">
            <w:pPr>
              <w:keepNext w:val="0"/>
              <w:keepLines w:val="0"/>
              <w:widowControl/>
              <w:numPr>
                <w:ilvl w:val="0"/>
                <w:numId w:val="0"/>
              </w:numPr>
              <w:suppressLineNumbers w:val="0"/>
              <w:spacing w:before="0" w:beforeAutospacing="0" w:after="0" w:afterAutospacing="0"/>
              <w:ind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eastAsia" w:ascii="Times New Roman" w:hAnsi="Times New Roman" w:cs="Times New Roman" w:eastAsiaTheme="minorEastAsia"/>
                <w:i w:val="0"/>
                <w:iCs w:val="0"/>
                <w:caps w:val="0"/>
                <w:color w:val="000000"/>
                <w:spacing w:val="0"/>
                <w:kern w:val="0"/>
                <w:sz w:val="21"/>
                <w:szCs w:val="21"/>
                <w:lang w:val="en-US" w:eastAsia="zh-CN" w:bidi="ar"/>
              </w:rPr>
              <w:t>Incentive effects of the carbon trading market on emission reduction in the oil and gas industry</w:t>
            </w:r>
          </w:p>
        </w:tc>
      </w:tr>
      <w:tr w14:paraId="5A63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5161FDF2">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7555CEE9">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42D9C119">
            <w:pPr>
              <w:keepNext w:val="0"/>
              <w:keepLines w:val="0"/>
              <w:widowControl/>
              <w:numPr>
                <w:ilvl w:val="0"/>
                <w:numId w:val="6"/>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油气行业节能减排政策的效果评估与优化</w:t>
            </w:r>
          </w:p>
          <w:p w14:paraId="030EE552">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Evaluation and optimization of energy saving and emission reduction policies in the oil and gas industry</w:t>
            </w:r>
          </w:p>
        </w:tc>
      </w:tr>
      <w:tr w14:paraId="4140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6FEC46CC">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3CA2BD6E">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17FB8B83">
            <w:pPr>
              <w:keepNext w:val="0"/>
              <w:keepLines w:val="0"/>
              <w:widowControl/>
              <w:numPr>
                <w:ilvl w:val="0"/>
                <w:numId w:val="6"/>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2"/>
                <w:kern w:val="0"/>
                <w:sz w:val="21"/>
                <w:szCs w:val="21"/>
                <w:vertAlign w:val="baseline"/>
                <w:lang w:val="en-US" w:eastAsia="zh-CN" w:bidi="ar"/>
              </w:rPr>
            </w:pPr>
            <w:r>
              <w:rPr>
                <w:rFonts w:hint="eastAsia" w:ascii="宋体" w:hAnsi="宋体" w:eastAsia="宋体" w:cs="宋体"/>
                <w:i w:val="0"/>
                <w:iCs w:val="0"/>
                <w:caps w:val="0"/>
                <w:color w:val="000000"/>
                <w:spacing w:val="-2"/>
                <w:kern w:val="0"/>
                <w:sz w:val="21"/>
                <w:szCs w:val="21"/>
                <w:vertAlign w:val="baseline"/>
                <w:lang w:val="en-US" w:eastAsia="zh-CN" w:bidi="ar"/>
              </w:rPr>
              <w:t>当前政策经济环境对新能源行业发展的影响</w:t>
            </w:r>
          </w:p>
          <w:p w14:paraId="5A24D177">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Impact of the current policy and economic environment on the development of the new energy industry</w:t>
            </w:r>
          </w:p>
        </w:tc>
      </w:tr>
      <w:tr w14:paraId="6DAA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5CFEC67B">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4BCD22F7">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475C773D">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（4）油气行业绿色金融支持机制设计</w:t>
            </w:r>
          </w:p>
          <w:p w14:paraId="41A22848">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Design of green financial support mechanisms for the oil and gas industry</w:t>
            </w:r>
          </w:p>
        </w:tc>
      </w:tr>
      <w:tr w14:paraId="54C6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378" w:type="dxa"/>
            <w:vMerge w:val="continue"/>
            <w:vAlign w:val="center"/>
          </w:tcPr>
          <w:p w14:paraId="474C8852">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1858" w:type="dxa"/>
            <w:vMerge w:val="continue"/>
            <w:vAlign w:val="center"/>
          </w:tcPr>
          <w:p w14:paraId="3D0BE4F8">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方正仿宋_GBK" w:hAnsi="方正仿宋_GBK" w:eastAsia="方正仿宋_GBK" w:cs="方正仿宋_GBK"/>
                <w:i w:val="0"/>
                <w:iCs w:val="0"/>
                <w:caps w:val="0"/>
                <w:color w:val="000000"/>
                <w:spacing w:val="0"/>
                <w:sz w:val="18"/>
                <w:szCs w:val="18"/>
                <w:shd w:val="clear" w:fill="FFFFFF"/>
                <w:vertAlign w:val="baseline"/>
                <w:lang w:val="en-US" w:eastAsia="zh-CN"/>
              </w:rPr>
            </w:pPr>
          </w:p>
        </w:tc>
        <w:tc>
          <w:tcPr>
            <w:tcW w:w="6642" w:type="dxa"/>
            <w:vAlign w:val="center"/>
          </w:tcPr>
          <w:p w14:paraId="5DB4A601">
            <w:pPr>
              <w:keepNext w:val="0"/>
              <w:keepLines w:val="0"/>
              <w:widowControl/>
              <w:numPr>
                <w:ilvl w:val="0"/>
                <w:numId w:val="5"/>
              </w:numPr>
              <w:suppressLineNumbers w:val="0"/>
              <w:spacing w:before="0" w:beforeAutospacing="0" w:after="0" w:afterAutospacing="0"/>
              <w:ind w:left="0" w:leftChars="0" w:right="0" w:firstLine="0" w:firstLineChars="0"/>
              <w:jc w:val="left"/>
              <w:textAlignment w:val="baseline"/>
              <w:rPr>
                <w:rFonts w:hint="eastAsia" w:ascii="宋体" w:hAnsi="宋体" w:eastAsia="宋体" w:cs="宋体"/>
                <w:i w:val="0"/>
                <w:iCs w:val="0"/>
                <w:caps w:val="0"/>
                <w:color w:val="000000"/>
                <w:spacing w:val="-1"/>
                <w:kern w:val="0"/>
                <w:sz w:val="21"/>
                <w:szCs w:val="21"/>
                <w:vertAlign w:val="baseline"/>
                <w:lang w:val="en-US" w:eastAsia="zh-CN" w:bidi="ar"/>
              </w:rPr>
            </w:pPr>
            <w:r>
              <w:rPr>
                <w:rFonts w:hint="eastAsia" w:ascii="宋体" w:hAnsi="宋体" w:eastAsia="宋体" w:cs="宋体"/>
                <w:i w:val="0"/>
                <w:iCs w:val="0"/>
                <w:caps w:val="0"/>
                <w:color w:val="000000"/>
                <w:spacing w:val="-1"/>
                <w:kern w:val="0"/>
                <w:sz w:val="21"/>
                <w:szCs w:val="21"/>
                <w:vertAlign w:val="baseline"/>
                <w:lang w:val="en-US" w:eastAsia="zh-CN" w:bidi="ar"/>
              </w:rPr>
              <w:t>油气行业低碳转型的经济技术评价</w:t>
            </w:r>
          </w:p>
          <w:p w14:paraId="59980B13">
            <w:pPr>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Times New Roman" w:hAnsi="Times New Roman" w:cs="Times New Roman" w:eastAsiaTheme="minorEastAsia"/>
                <w:i w:val="0"/>
                <w:iCs w:val="0"/>
                <w:caps w:val="0"/>
                <w:color w:val="000000"/>
                <w:spacing w:val="0"/>
                <w:kern w:val="0"/>
                <w:sz w:val="21"/>
                <w:szCs w:val="21"/>
                <w:lang w:val="en-US" w:eastAsia="zh-CN" w:bidi="ar"/>
              </w:rPr>
            </w:pPr>
            <w:r>
              <w:rPr>
                <w:rFonts w:hint="default" w:ascii="Times New Roman" w:hAnsi="Times New Roman" w:cs="Times New Roman" w:eastAsiaTheme="minorEastAsia"/>
                <w:i w:val="0"/>
                <w:iCs w:val="0"/>
                <w:caps w:val="0"/>
                <w:color w:val="000000"/>
                <w:spacing w:val="0"/>
                <w:kern w:val="0"/>
                <w:sz w:val="21"/>
                <w:szCs w:val="21"/>
                <w:lang w:val="en-US" w:eastAsia="zh-CN" w:bidi="ar"/>
              </w:rPr>
              <w:t>Economic and technical evaluation of the low-carbon transition in the oil and gas industry</w:t>
            </w:r>
          </w:p>
        </w:tc>
      </w:tr>
    </w:tbl>
    <w:p w14:paraId="68EBB940">
      <w:pPr>
        <w:keepNext w:val="0"/>
        <w:keepLines w:val="0"/>
        <w:pageBreakBefore w:val="0"/>
        <w:widowControl w:val="0"/>
        <w:kinsoku/>
        <w:wordWrap/>
        <w:overflowPunct/>
        <w:topLinePunct w:val="0"/>
        <w:autoSpaceDE/>
        <w:autoSpaceDN/>
        <w:bidi w:val="0"/>
        <w:adjustRightInd w:val="0"/>
        <w:snapToGrid/>
        <w:ind w:firstLine="442" w:firstLineChars="200"/>
        <w:jc w:val="left"/>
        <w:textAlignment w:val="auto"/>
        <w:rPr>
          <w:rFonts w:hint="eastAsia" w:ascii="方正仿宋_GBK" w:hAnsi="方正仿宋_GBK" w:eastAsia="方正仿宋_GBK" w:cs="方正仿宋_GBK"/>
          <w:b/>
          <w:bCs/>
          <w:i w:val="0"/>
          <w:iCs w:val="0"/>
          <w:caps w:val="0"/>
          <w:color w:val="000000"/>
          <w:spacing w:val="0"/>
          <w:sz w:val="22"/>
          <w:szCs w:val="22"/>
          <w:shd w:val="clear" w:fill="FFFFFF"/>
          <w:lang w:val="en-US" w:eastAsia="zh-CN"/>
        </w:rPr>
      </w:pPr>
      <w:r>
        <w:rPr>
          <w:rFonts w:hint="eastAsia" w:ascii="方正仿宋_GBK" w:hAnsi="方正仿宋_GBK" w:eastAsia="方正仿宋_GBK" w:cs="方正仿宋_GBK"/>
          <w:b/>
          <w:bCs/>
          <w:i w:val="0"/>
          <w:iCs w:val="0"/>
          <w:caps w:val="0"/>
          <w:color w:val="000000"/>
          <w:spacing w:val="0"/>
          <w:sz w:val="22"/>
          <w:szCs w:val="22"/>
          <w:shd w:val="clear" w:fill="FFFFFF"/>
          <w:lang w:val="en-US" w:eastAsia="zh-CN"/>
        </w:rPr>
        <w:t>三、参赛规则</w:t>
      </w:r>
    </w:p>
    <w:p w14:paraId="1F1EF5D8">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1. 参赛对象：全日制非成人教育的专科生、本科生、硕士研究生和博士研究生（不含在职研究生）。参赛者必须组队参赛，参赛队伍按照研究生组和本科生组分别进行比赛，参赛队伍中有研究生参加的将归类为研究生组，每组不超过7名，每个参赛队伍聘请指导教师不超过3名，如聘请3名指导教师，其中1名必须是企业技术人员或交叉学科老师。</w:t>
      </w:r>
    </w:p>
    <w:p w14:paraId="5AA65A80">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2. 作品申报：各团队围绕产业命题自主参赛，不限定作品数量。往届比赛获奖作品不得再次提交。参赛队伍必须在规定时间内完成作品，并按要求准时提交参赛作品，未按时提交者视为自动放弃比赛。</w:t>
      </w:r>
    </w:p>
    <w:p w14:paraId="6D8700F5">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3. 参赛作品：参赛作品形式丰富多样，包括研究报告、实物制作（模型）、软件、设计等。</w:t>
      </w:r>
    </w:p>
    <w:p w14:paraId="64E305FB">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4. 诚信承诺：所有参赛作品成员及指导教师需提供身份证号，一旦发现并查实学术不端问题，涉事学生永久禁赛，相关指导老师禁赛两年，对涉事学校进行警告，如再次违反则该校禁赛2年。</w:t>
      </w:r>
    </w:p>
    <w:p w14:paraId="2B8FDAF5">
      <w:pPr>
        <w:keepNext w:val="0"/>
        <w:keepLines w:val="0"/>
        <w:pageBreakBefore w:val="0"/>
        <w:widowControl w:val="0"/>
        <w:kinsoku/>
        <w:wordWrap/>
        <w:overflowPunct/>
        <w:topLinePunct w:val="0"/>
        <w:autoSpaceDE/>
        <w:autoSpaceDN/>
        <w:bidi w:val="0"/>
        <w:adjustRightInd w:val="0"/>
        <w:snapToGrid/>
        <w:ind w:firstLine="442" w:firstLineChars="200"/>
        <w:jc w:val="left"/>
        <w:textAlignment w:val="auto"/>
        <w:rPr>
          <w:rFonts w:hint="eastAsia" w:ascii="方正仿宋_GBK" w:hAnsi="方正仿宋_GBK" w:eastAsia="方正仿宋_GBK" w:cs="方正仿宋_GBK"/>
          <w:b/>
          <w:bCs/>
          <w:i w:val="0"/>
          <w:iCs w:val="0"/>
          <w:caps w:val="0"/>
          <w:color w:val="000000"/>
          <w:spacing w:val="0"/>
          <w:sz w:val="22"/>
          <w:szCs w:val="22"/>
          <w:shd w:val="clear" w:fill="FFFFFF"/>
          <w:lang w:val="en-US" w:eastAsia="zh-CN"/>
        </w:rPr>
      </w:pPr>
      <w:r>
        <w:rPr>
          <w:rFonts w:hint="eastAsia" w:ascii="方正仿宋_GBK" w:hAnsi="方正仿宋_GBK" w:eastAsia="方正仿宋_GBK" w:cs="方正仿宋_GBK"/>
          <w:b/>
          <w:bCs/>
          <w:i w:val="0"/>
          <w:iCs w:val="0"/>
          <w:caps w:val="0"/>
          <w:color w:val="000000"/>
          <w:spacing w:val="0"/>
          <w:sz w:val="22"/>
          <w:szCs w:val="22"/>
          <w:shd w:val="clear" w:fill="FFFFFF"/>
          <w:lang w:val="en-US" w:eastAsia="zh-CN"/>
        </w:rPr>
        <w:t>四、赛程安排</w:t>
      </w:r>
    </w:p>
    <w:p w14:paraId="46ACCC17">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1. 参赛报名：有意向报名的参赛队伍请加入主办方比赛QQ群：1040416433（每个作品仅限队长一人入群）。</w:t>
      </w:r>
    </w:p>
    <w:p w14:paraId="4EDE3C4B">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2. 参赛项目负责人必须在2025年5月16日上午11点前完成设计，</w:t>
      </w:r>
      <w:r>
        <w:rPr>
          <w:rFonts w:hint="eastAsia" w:ascii="方正仿宋_GBK" w:hAnsi="方正仿宋_GBK" w:eastAsia="方正仿宋_GBK" w:cs="方正仿宋_GBK"/>
          <w:i w:val="0"/>
          <w:iCs w:val="0"/>
          <w:caps w:val="0"/>
          <w:color w:val="000000"/>
          <w:spacing w:val="0"/>
          <w:sz w:val="22"/>
          <w:szCs w:val="22"/>
          <w:shd w:val="clear" w:fill="FFFFFF"/>
          <w:lang w:val="en-US" w:eastAsia="zh"/>
        </w:rPr>
        <w:t>并</w:t>
      </w:r>
      <w:r>
        <w:rPr>
          <w:rFonts w:hint="eastAsia" w:ascii="方正仿宋_GBK" w:hAnsi="方正仿宋_GBK" w:eastAsia="方正仿宋_GBK" w:cs="方正仿宋_GBK"/>
          <w:i w:val="0"/>
          <w:iCs w:val="0"/>
          <w:caps w:val="0"/>
          <w:color w:val="000000"/>
          <w:spacing w:val="0"/>
          <w:sz w:val="22"/>
          <w:szCs w:val="22"/>
          <w:shd w:val="clear" w:fill="FFFFFF"/>
          <w:lang w:val="en-US" w:eastAsia="zh-CN"/>
        </w:rPr>
        <w:t>将参赛作品申报书、说明书、承诺书</w:t>
      </w:r>
      <w:r>
        <w:rPr>
          <w:rFonts w:hint="eastAsia" w:ascii="方正仿宋_GBK" w:hAnsi="方正仿宋_GBK" w:eastAsia="方正仿宋_GBK" w:cs="方正仿宋_GBK"/>
          <w:i w:val="0"/>
          <w:iCs w:val="0"/>
          <w:caps w:val="0"/>
          <w:color w:val="000000"/>
          <w:spacing w:val="0"/>
          <w:sz w:val="22"/>
          <w:szCs w:val="22"/>
          <w:shd w:val="clear" w:fill="FFFFFF"/>
          <w:lang w:val="en-US" w:eastAsia="zh"/>
        </w:rPr>
        <w:t>（一式两份）</w:t>
      </w:r>
      <w:r>
        <w:rPr>
          <w:rFonts w:hint="eastAsia" w:ascii="方正仿宋_GBK" w:hAnsi="方正仿宋_GBK" w:eastAsia="方正仿宋_GBK" w:cs="方正仿宋_GBK"/>
          <w:i w:val="0"/>
          <w:iCs w:val="0"/>
          <w:caps w:val="0"/>
          <w:color w:val="000000"/>
          <w:spacing w:val="0"/>
          <w:sz w:val="22"/>
          <w:szCs w:val="22"/>
          <w:shd w:val="clear" w:fill="FFFFFF"/>
          <w:lang w:val="en-US" w:eastAsia="zh-CN"/>
        </w:rPr>
        <w:t>交至至主楼122曹老师处，</w:t>
      </w:r>
      <w:r>
        <w:rPr>
          <w:rFonts w:hint="eastAsia" w:ascii="方正仿宋_GBK" w:hAnsi="方正仿宋_GBK" w:eastAsia="方正仿宋_GBK" w:cs="方正仿宋_GBK"/>
          <w:i w:val="0"/>
          <w:iCs w:val="0"/>
          <w:caps w:val="0"/>
          <w:color w:val="000000"/>
          <w:spacing w:val="0"/>
          <w:sz w:val="22"/>
          <w:szCs w:val="22"/>
          <w:shd w:val="clear" w:fill="FFFFFF"/>
          <w:lang w:val="en-US" w:eastAsia="zh"/>
        </w:rPr>
        <w:t>承诺书需手签，不可使用电子签，经审查后</w:t>
      </w:r>
      <w:r>
        <w:rPr>
          <w:rFonts w:hint="eastAsia" w:ascii="方正仿宋_GBK" w:hAnsi="方正仿宋_GBK" w:eastAsia="方正仿宋_GBK" w:cs="方正仿宋_GBK"/>
          <w:i w:val="0"/>
          <w:iCs w:val="0"/>
          <w:caps w:val="0"/>
          <w:color w:val="000000"/>
          <w:spacing w:val="0"/>
          <w:sz w:val="22"/>
          <w:szCs w:val="22"/>
          <w:shd w:val="clear" w:fill="FFFFFF"/>
          <w:lang w:val="en-US" w:eastAsia="zh-CN"/>
        </w:rPr>
        <w:t>学校统一盖章。</w:t>
      </w:r>
    </w:p>
    <w:p w14:paraId="7F2E0920">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 xml:space="preserve">3. 作品申报：参赛项目负责人必须在2025年5月20日24:00前将加盖学校公章的参赛作品申报书、说明书等文字材料、承诺书，以电子版形式统一提交到邮箱：jnjp_cy_18@163.com，同一项目所有材料放入一个文件夹内，文件命名格式：项目名称+负责人姓名。 </w:t>
      </w:r>
    </w:p>
    <w:p w14:paraId="47FB5FE3">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 xml:space="preserve">4. 函评：初定时间为2025年5月29日-6月7日，大赛组委会组织专家在网上进行作品函评。 </w:t>
      </w:r>
    </w:p>
    <w:p w14:paraId="09BB79CC">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5. 会评：初定于2025年6月28日-6月29日，举行专家会评，确定入围决赛作品名单及其他获奖作品名单。</w:t>
      </w:r>
    </w:p>
    <w:p w14:paraId="6E6013FA">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6. 公示：通过会评的作品，进行为期10天的公示。</w:t>
      </w:r>
    </w:p>
    <w:p w14:paraId="03D6367C">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7. 决赛：初定于2025年8月8日-8月11日在东北石油大学举办全国总决赛。</w:t>
      </w:r>
    </w:p>
    <w:p w14:paraId="44120985">
      <w:pPr>
        <w:keepNext w:val="0"/>
        <w:keepLines w:val="0"/>
        <w:pageBreakBefore w:val="0"/>
        <w:widowControl w:val="0"/>
        <w:kinsoku/>
        <w:wordWrap/>
        <w:overflowPunct/>
        <w:topLinePunct w:val="0"/>
        <w:autoSpaceDE/>
        <w:autoSpaceDN/>
        <w:bidi w:val="0"/>
        <w:adjustRightInd w:val="0"/>
        <w:snapToGrid/>
        <w:ind w:firstLine="442" w:firstLineChars="200"/>
        <w:jc w:val="left"/>
        <w:textAlignment w:val="auto"/>
        <w:rPr>
          <w:rFonts w:hint="eastAsia" w:ascii="方正仿宋_GBK" w:hAnsi="方正仿宋_GBK" w:eastAsia="方正仿宋_GBK" w:cs="方正仿宋_GBK"/>
          <w:b/>
          <w:bCs/>
          <w:i w:val="0"/>
          <w:iCs w:val="0"/>
          <w:caps w:val="0"/>
          <w:color w:val="000000"/>
          <w:spacing w:val="0"/>
          <w:sz w:val="22"/>
          <w:szCs w:val="22"/>
          <w:shd w:val="clear" w:fill="FFFFFF"/>
          <w:lang w:val="en-US" w:eastAsia="zh-CN"/>
        </w:rPr>
      </w:pPr>
      <w:r>
        <w:rPr>
          <w:rFonts w:hint="eastAsia" w:ascii="方正仿宋_GBK" w:hAnsi="方正仿宋_GBK" w:eastAsia="方正仿宋_GBK" w:cs="方正仿宋_GBK"/>
          <w:b/>
          <w:bCs/>
          <w:i w:val="0"/>
          <w:iCs w:val="0"/>
          <w:caps w:val="0"/>
          <w:color w:val="000000"/>
          <w:spacing w:val="0"/>
          <w:sz w:val="22"/>
          <w:szCs w:val="22"/>
          <w:shd w:val="clear" w:fill="FFFFFF"/>
          <w:lang w:val="en-US" w:eastAsia="zh-CN"/>
        </w:rPr>
        <w:t>五、作品评审及奖项设置</w:t>
      </w:r>
    </w:p>
    <w:p w14:paraId="3D1D738A">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大赛将邀请业内专家、学者及企业代表组成评审团，根据作品的原创性、技术内容、适用性及环境可持续性进行综合评审及打分。</w:t>
      </w:r>
    </w:p>
    <w:p w14:paraId="03B15B3C">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竞赛设立等级奖，等级奖设特等奖（可空缺）、一等奖、二等奖、三等奖。各等级的获奖比例由竞赛委员会根据参赛规模的实际情况确定。</w:t>
      </w:r>
    </w:p>
    <w:p w14:paraId="255F0843">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六、联系方式</w:t>
      </w:r>
    </w:p>
    <w:p w14:paraId="2A337EA5">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邮箱地址：jnjp_cy_18@163.com</w:t>
      </w:r>
    </w:p>
    <w:p w14:paraId="5D6E6519">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 xml:space="preserve">联系方式： </w:t>
      </w:r>
    </w:p>
    <w:p w14:paraId="39D1617C">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朱凌岳  15045894893</w:t>
      </w:r>
    </w:p>
    <w:p w14:paraId="4E9C5B71">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李志达  19845954283</w:t>
      </w:r>
    </w:p>
    <w:p w14:paraId="24557B7C">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校内联系人：</w:t>
      </w:r>
    </w:p>
    <w:p w14:paraId="36A57DF8">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eastAsia" w:ascii="方正仿宋_GBK" w:hAnsi="方正仿宋_GBK" w:eastAsia="方正仿宋_GBK" w:cs="方正仿宋_GBK"/>
          <w:i w:val="0"/>
          <w:iCs w:val="0"/>
          <w:caps w:val="0"/>
          <w:color w:val="000000"/>
          <w:spacing w:val="0"/>
          <w:sz w:val="22"/>
          <w:szCs w:val="22"/>
          <w:shd w:val="clear" w:fill="FFFFFF"/>
          <w:lang w:val="en-US" w:eastAsia="zh-CN"/>
        </w:rPr>
      </w:pPr>
      <w:r>
        <w:rPr>
          <w:rFonts w:hint="eastAsia" w:ascii="方正仿宋_GBK" w:hAnsi="方正仿宋_GBK" w:eastAsia="方正仿宋_GBK" w:cs="方正仿宋_GBK"/>
          <w:i w:val="0"/>
          <w:iCs w:val="0"/>
          <w:caps w:val="0"/>
          <w:color w:val="000000"/>
          <w:spacing w:val="0"/>
          <w:sz w:val="22"/>
          <w:szCs w:val="22"/>
          <w:shd w:val="clear" w:fill="FFFFFF"/>
          <w:lang w:val="en-US" w:eastAsia="zh-CN"/>
        </w:rPr>
        <w:t>曹老师010-62336615</w:t>
      </w:r>
    </w:p>
    <w:p w14:paraId="658F4D2A">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default" w:ascii="方正仿宋_GBK" w:hAnsi="方正仿宋_GBK" w:eastAsia="方正仿宋_GBK" w:cs="方正仿宋_GBK"/>
          <w:i w:val="0"/>
          <w:iCs w:val="0"/>
          <w:caps w:val="0"/>
          <w:color w:val="000000"/>
          <w:spacing w:val="0"/>
          <w:sz w:val="22"/>
          <w:szCs w:val="22"/>
          <w:shd w:val="clear" w:fill="FFFFFF"/>
          <w:lang w:val="en-US" w:eastAsia="zh-CN"/>
        </w:rPr>
      </w:pPr>
      <w:r>
        <w:rPr>
          <w:rFonts w:hint="default" w:ascii="方正仿宋_GBK" w:hAnsi="方正仿宋_GBK" w:eastAsia="方正仿宋_GBK" w:cs="方正仿宋_GBK"/>
          <w:i w:val="0"/>
          <w:iCs w:val="0"/>
          <w:caps w:val="0"/>
          <w:color w:val="000000"/>
          <w:spacing w:val="0"/>
          <w:sz w:val="22"/>
          <w:szCs w:val="22"/>
          <w:shd w:val="clear" w:fill="FFFFFF"/>
          <w:lang w:val="en-US" w:eastAsia="zh-CN"/>
        </w:rPr>
        <w:t>附件1：产业赛道申报书及报告格式</w:t>
      </w:r>
    </w:p>
    <w:p w14:paraId="692013F8">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default" w:ascii="方正仿宋_GBK" w:hAnsi="方正仿宋_GBK" w:eastAsia="方正仿宋_GBK" w:cs="方正仿宋_GBK"/>
          <w:i w:val="0"/>
          <w:iCs w:val="0"/>
          <w:caps w:val="0"/>
          <w:color w:val="000000"/>
          <w:spacing w:val="0"/>
          <w:sz w:val="22"/>
          <w:szCs w:val="22"/>
          <w:shd w:val="clear" w:fill="FFFFFF"/>
          <w:lang w:val="en-US" w:eastAsia="zh-CN"/>
        </w:rPr>
      </w:pPr>
      <w:r>
        <w:rPr>
          <w:rFonts w:hint="default" w:ascii="方正仿宋_GBK" w:hAnsi="方正仿宋_GBK" w:eastAsia="方正仿宋_GBK" w:cs="方正仿宋_GBK"/>
          <w:i w:val="0"/>
          <w:iCs w:val="0"/>
          <w:caps w:val="0"/>
          <w:color w:val="000000"/>
          <w:spacing w:val="0"/>
          <w:sz w:val="22"/>
          <w:szCs w:val="22"/>
          <w:shd w:val="clear" w:fill="FFFFFF"/>
          <w:lang w:val="en-US" w:eastAsia="zh-CN"/>
        </w:rPr>
        <w:t>附件2：诚信承诺书</w:t>
      </w:r>
      <w:bookmarkStart w:id="0" w:name="_GoBack"/>
      <w:bookmarkEnd w:id="0"/>
    </w:p>
    <w:p w14:paraId="457A390A">
      <w:pPr>
        <w:keepNext w:val="0"/>
        <w:keepLines w:val="0"/>
        <w:pageBreakBefore w:val="0"/>
        <w:widowControl w:val="0"/>
        <w:kinsoku/>
        <w:wordWrap/>
        <w:overflowPunct/>
        <w:topLinePunct w:val="0"/>
        <w:autoSpaceDE/>
        <w:autoSpaceDN/>
        <w:bidi w:val="0"/>
        <w:adjustRightInd w:val="0"/>
        <w:snapToGrid/>
        <w:ind w:firstLine="440" w:firstLineChars="200"/>
        <w:jc w:val="left"/>
        <w:textAlignment w:val="auto"/>
        <w:rPr>
          <w:rFonts w:hint="default" w:ascii="方正仿宋_GBK" w:hAnsi="方正仿宋_GBK" w:eastAsia="方正仿宋_GBK" w:cs="方正仿宋_GBK"/>
          <w:i w:val="0"/>
          <w:iCs w:val="0"/>
          <w:caps w:val="0"/>
          <w:color w:val="000000"/>
          <w:spacing w:val="0"/>
          <w:sz w:val="22"/>
          <w:szCs w:val="22"/>
          <w:shd w:val="clear" w:fill="FFFFFF"/>
          <w:lang w:val="en-US" w:eastAsia="zh-CN"/>
        </w:rPr>
      </w:pPr>
      <w:r>
        <w:rPr>
          <w:rFonts w:hint="default" w:ascii="方正仿宋_GBK" w:hAnsi="方正仿宋_GBK" w:eastAsia="方正仿宋_GBK" w:cs="方正仿宋_GBK"/>
          <w:i w:val="0"/>
          <w:iCs w:val="0"/>
          <w:caps w:val="0"/>
          <w:color w:val="000000"/>
          <w:spacing w:val="0"/>
          <w:sz w:val="22"/>
          <w:szCs w:val="22"/>
          <w:shd w:val="clear" w:fill="FFFFFF"/>
          <w:lang w:val="en-US" w:eastAsia="zh-CN"/>
        </w:rPr>
        <w:t>链接: https://pan.baidu.com/s/1s1gmBZSLsjjIH08yfssW2A?pwd=1526  提取码: 1526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34874E9-4EE9-4CEC-81E6-F4E4671DF97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0285C7A1-E611-41EB-8A56-3F6BEC227D26}"/>
  </w:font>
  <w:font w:name="方正仿宋_GBK">
    <w:panose1 w:val="02000000000000000000"/>
    <w:charset w:val="86"/>
    <w:family w:val="auto"/>
    <w:pitch w:val="default"/>
    <w:sig w:usb0="A00002BF" w:usb1="38CF7CFA" w:usb2="00082016" w:usb3="00000000" w:csb0="00040001" w:csb1="00000000"/>
    <w:embedRegular r:id="rId3" w:fontKey="{BC590489-9573-4265-BEEE-2B81CB03AF5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0715C"/>
    <w:multiLevelType w:val="singleLevel"/>
    <w:tmpl w:val="9EF0715C"/>
    <w:lvl w:ilvl="0" w:tentative="0">
      <w:start w:val="3"/>
      <w:numFmt w:val="decimal"/>
      <w:suff w:val="nothing"/>
      <w:lvlText w:val="（%1）"/>
      <w:lvlJc w:val="left"/>
    </w:lvl>
  </w:abstractNum>
  <w:abstractNum w:abstractNumId="1">
    <w:nsid w:val="B896B1CB"/>
    <w:multiLevelType w:val="singleLevel"/>
    <w:tmpl w:val="B896B1CB"/>
    <w:lvl w:ilvl="0" w:tentative="0">
      <w:start w:val="1"/>
      <w:numFmt w:val="decimal"/>
      <w:suff w:val="nothing"/>
      <w:lvlText w:val="（%1）"/>
      <w:lvlJc w:val="left"/>
    </w:lvl>
  </w:abstractNum>
  <w:abstractNum w:abstractNumId="2">
    <w:nsid w:val="F6E38493"/>
    <w:multiLevelType w:val="singleLevel"/>
    <w:tmpl w:val="F6E38493"/>
    <w:lvl w:ilvl="0" w:tentative="0">
      <w:start w:val="1"/>
      <w:numFmt w:val="decimal"/>
      <w:suff w:val="nothing"/>
      <w:lvlText w:val="（%1）"/>
      <w:lvlJc w:val="left"/>
    </w:lvl>
  </w:abstractNum>
  <w:abstractNum w:abstractNumId="3">
    <w:nsid w:val="FB241D3F"/>
    <w:multiLevelType w:val="singleLevel"/>
    <w:tmpl w:val="FB241D3F"/>
    <w:lvl w:ilvl="0" w:tentative="0">
      <w:start w:val="1"/>
      <w:numFmt w:val="decimal"/>
      <w:suff w:val="nothing"/>
      <w:lvlText w:val="（%1）"/>
      <w:lvlJc w:val="left"/>
    </w:lvl>
  </w:abstractNum>
  <w:abstractNum w:abstractNumId="4">
    <w:nsid w:val="2349CBC4"/>
    <w:multiLevelType w:val="singleLevel"/>
    <w:tmpl w:val="2349CBC4"/>
    <w:lvl w:ilvl="0" w:tentative="0">
      <w:start w:val="1"/>
      <w:numFmt w:val="decimal"/>
      <w:suff w:val="nothing"/>
      <w:lvlText w:val="（%1）"/>
      <w:lvlJc w:val="left"/>
    </w:lvl>
  </w:abstractNum>
  <w:abstractNum w:abstractNumId="5">
    <w:nsid w:val="497A2EC4"/>
    <w:multiLevelType w:val="singleLevel"/>
    <w:tmpl w:val="497A2EC4"/>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mMjkwYjg2YmNjMDY2MWU0NTI4NjE3MmU1MzQ1ZDAifQ=="/>
  </w:docVars>
  <w:rsids>
    <w:rsidRoot w:val="314379A6"/>
    <w:rsid w:val="1A1A147F"/>
    <w:rsid w:val="26F37E75"/>
    <w:rsid w:val="314379A6"/>
    <w:rsid w:val="34795E48"/>
    <w:rsid w:val="3A253D6B"/>
    <w:rsid w:val="48EA3B26"/>
    <w:rsid w:val="7C7704B5"/>
    <w:rsid w:val="FDBF5805"/>
    <w:rsid w:val="FFDF39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2257</Words>
  <Characters>4126</Characters>
  <Lines>0</Lines>
  <Paragraphs>0</Paragraphs>
  <TotalTime>25</TotalTime>
  <ScaleCrop>false</ScaleCrop>
  <LinksUpToDate>false</LinksUpToDate>
  <CharactersWithSpaces>4474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2024-05-13T15:58:00Z</dcterms:created>
  <dc:creator>曹雨晴</dc:creator>
  <cp:lastModifiedBy>曹雨晴</cp:lastModifiedBy>
  <dcterms:modified xsi:type="dcterms:W3CDTF">2025-04-07T08:50:30Z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613DEE14C8CC4226AFC6F226A79CB5D8_13</vt:lpwstr>
  </property>
  <property fmtid="{D5CDD505-2E9C-101B-9397-08002B2CF9AE}" pid="4" name="KSOTemplateDocerSaveRecord">
    <vt:lpwstr>eyJoZGlkIjoiOGI0ZjM4ZGM5MTJlMDlmY2EzMWQ1NWFmZjQxYTE3YmUiLCJ1c2VySWQiOiIyNjI2MzcwODIifQ==</vt:lpwstr>
  </property>
</Properties>
</file>