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9D62B">
      <w:pPr>
        <w:pStyle w:val="4"/>
        <w:spacing w:line="264" w:lineRule="auto"/>
        <w:jc w:val="center"/>
        <w:rPr>
          <w:rFonts w:hint="default" w:ascii="黑体" w:hAnsi="宋体" w:eastAsia="黑体"/>
          <w:sz w:val="36"/>
          <w:szCs w:val="36"/>
          <w:lang w:val="en-US" w:eastAsia="zh-CN"/>
        </w:rPr>
      </w:pPr>
      <w:r>
        <w:rPr>
          <w:rFonts w:hint="eastAsia" w:ascii="黑体" w:hAnsi="宋体" w:eastAsia="黑体"/>
          <w:sz w:val="36"/>
          <w:szCs w:val="36"/>
          <w:lang w:val="en-US" w:eastAsia="zh-CN"/>
        </w:rPr>
        <w:t>北京林业大学学报论文写作规范</w:t>
      </w:r>
    </w:p>
    <w:p w14:paraId="07D3D59A">
      <w:pPr>
        <w:pStyle w:val="4"/>
        <w:spacing w:line="264" w:lineRule="auto"/>
        <w:rPr>
          <w:rFonts w:hint="eastAsia" w:ascii="黑体" w:hAnsi="宋体" w:eastAsia="黑体"/>
          <w:szCs w:val="21"/>
        </w:rPr>
      </w:pPr>
      <w:r>
        <w:rPr>
          <w:rFonts w:hint="eastAsia" w:ascii="黑体" w:hAnsi="宋体" w:eastAsia="黑体"/>
          <w:szCs w:val="21"/>
        </w:rPr>
        <w:t>基本要求：</w:t>
      </w:r>
    </w:p>
    <w:p w14:paraId="31F0DE51">
      <w:pPr>
        <w:pStyle w:val="4"/>
        <w:numPr>
          <w:ilvl w:val="0"/>
          <w:numId w:val="2"/>
        </w:numPr>
        <w:spacing w:line="264" w:lineRule="auto"/>
        <w:ind w:firstLine="420" w:firstLineChars="200"/>
        <w:rPr>
          <w:rFonts w:hint="eastAsia"/>
          <w:sz w:val="21"/>
          <w:szCs w:val="21"/>
        </w:rPr>
      </w:pPr>
      <w:bookmarkStart w:id="0" w:name="_GoBack"/>
      <w:bookmarkEnd w:id="0"/>
      <w:r>
        <w:rPr>
          <w:rFonts w:hint="eastAsia"/>
          <w:sz w:val="21"/>
          <w:szCs w:val="21"/>
        </w:rPr>
        <w:t>稿件全文通栏排</w:t>
      </w:r>
      <w:r>
        <w:rPr>
          <w:rFonts w:hint="eastAsia"/>
          <w:sz w:val="21"/>
          <w:szCs w:val="21"/>
          <w:lang w:eastAsia="zh-CN"/>
        </w:rPr>
        <w:t>，不接收分栏稿件</w:t>
      </w:r>
      <w:r>
        <w:rPr>
          <w:rFonts w:hint="eastAsia"/>
          <w:sz w:val="21"/>
          <w:szCs w:val="21"/>
        </w:rPr>
        <w:t>。</w:t>
      </w:r>
    </w:p>
    <w:p w14:paraId="6F7F178F">
      <w:pPr>
        <w:pStyle w:val="4"/>
        <w:numPr>
          <w:ilvl w:val="0"/>
          <w:numId w:val="2"/>
        </w:numPr>
        <w:spacing w:line="264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参考文献引用采用“顺序编码制”，即直接在文中按照序号引用。</w:t>
      </w:r>
    </w:p>
    <w:p w14:paraId="4C95435E">
      <w:pPr>
        <w:pStyle w:val="4"/>
        <w:numPr>
          <w:ilvl w:val="0"/>
          <w:numId w:val="2"/>
        </w:numPr>
        <w:spacing w:line="264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所有物种在正文中首次出现时，标注拉丁学名。拉丁学名用斜体表示，命名人信息（一般可不写）、生物分类中的科及科以上除外。</w:t>
      </w:r>
    </w:p>
    <w:p w14:paraId="6B02646E">
      <w:pPr>
        <w:pStyle w:val="4"/>
        <w:numPr>
          <w:ilvl w:val="0"/>
          <w:numId w:val="2"/>
        </w:numPr>
        <w:spacing w:line="264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格式规范的论文</w:t>
      </w:r>
      <w:r>
        <w:rPr>
          <w:rFonts w:hint="eastAsia"/>
          <w:sz w:val="21"/>
          <w:szCs w:val="21"/>
          <w:lang w:eastAsia="zh-CN"/>
        </w:rPr>
        <w:t>会让审阅者赏心悦目</w:t>
      </w:r>
      <w:r>
        <w:rPr>
          <w:rFonts w:hint="eastAsia"/>
          <w:sz w:val="21"/>
          <w:szCs w:val="21"/>
        </w:rPr>
        <w:t>，</w:t>
      </w:r>
      <w:r>
        <w:rPr>
          <w:rFonts w:hint="eastAsia"/>
          <w:sz w:val="21"/>
          <w:szCs w:val="21"/>
          <w:lang w:eastAsia="zh-CN"/>
        </w:rPr>
        <w:t>一定程度上</w:t>
      </w:r>
      <w:r>
        <w:rPr>
          <w:rFonts w:hint="eastAsia"/>
          <w:sz w:val="21"/>
          <w:szCs w:val="21"/>
        </w:rPr>
        <w:t>加快审稿速度！所以我们建议所有作者投稿前按《北京林业大学学报》规范对论文进行修改。</w:t>
      </w:r>
      <w:r>
        <w:rPr>
          <w:rFonts w:hint="eastAsia"/>
          <w:sz w:val="21"/>
          <w:szCs w:val="21"/>
          <w:lang w:eastAsia="zh-CN"/>
        </w:rPr>
        <w:t>加上行号，便于审稿。</w:t>
      </w:r>
    </w:p>
    <w:p w14:paraId="17B65464">
      <w:pPr>
        <w:pStyle w:val="4"/>
        <w:numPr>
          <w:ilvl w:val="0"/>
          <w:numId w:val="2"/>
        </w:numPr>
        <w:spacing w:line="264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建议投稿时提供创新点说明</w:t>
      </w:r>
      <w:r>
        <w:rPr>
          <w:rFonts w:hint="eastAsia"/>
          <w:sz w:val="21"/>
          <w:szCs w:val="21"/>
          <w:lang w:eastAsia="zh-CN"/>
        </w:rPr>
        <w:t>。</w:t>
      </w:r>
    </w:p>
    <w:p w14:paraId="3DA738BA">
      <w:pPr>
        <w:pStyle w:val="4"/>
        <w:numPr>
          <w:ilvl w:val="0"/>
          <w:numId w:val="0"/>
        </w:numPr>
        <w:spacing w:line="264" w:lineRule="auto"/>
        <w:rPr>
          <w:sz w:val="21"/>
          <w:szCs w:val="21"/>
        </w:rPr>
      </w:pPr>
    </w:p>
    <w:p w14:paraId="5EA124B7">
      <w:pPr>
        <w:ind w:right="619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论文题名</w:t>
      </w:r>
    </w:p>
    <w:p w14:paraId="2A1562C8">
      <w:pPr>
        <w:ind w:right="619"/>
        <w:jc w:val="center"/>
        <w:rPr>
          <w:rFonts w:ascii="Arial Unicode MS" w:eastAsia="Arial Unicode MS"/>
          <w:color w:val="auto"/>
          <w:sz w:val="34"/>
          <w:highlight w:val="none"/>
        </w:rPr>
      </w:pPr>
      <w:r>
        <w:rPr>
          <w:rFonts w:hint="eastAsia" w:ascii="宋体" w:hAnsi="宋体"/>
          <w:color w:val="auto"/>
          <w:sz w:val="18"/>
          <w:szCs w:val="18"/>
          <w:highlight w:val="none"/>
          <w:lang w:eastAsia="zh-CN"/>
        </w:rPr>
        <w:t>（</w:t>
      </w:r>
      <w:r>
        <w:rPr>
          <w:rFonts w:hint="eastAsia" w:ascii="宋体" w:hAnsi="宋体"/>
          <w:color w:val="auto"/>
          <w:sz w:val="18"/>
          <w:szCs w:val="18"/>
          <w:highlight w:val="none"/>
        </w:rPr>
        <w:t>一般不超过20个汉字，应简明、具体、确切，概括文章的要旨，符合编制题录、索引和检索有关原则。居中。</w:t>
      </w:r>
      <w:r>
        <w:rPr>
          <w:rFonts w:hint="eastAsia" w:ascii="宋体" w:hAnsi="宋体"/>
          <w:color w:val="auto"/>
          <w:sz w:val="18"/>
          <w:szCs w:val="18"/>
          <w:highlight w:val="none"/>
          <w:lang w:eastAsia="zh-CN"/>
        </w:rPr>
        <w:t>）</w:t>
      </w:r>
    </w:p>
    <w:p w14:paraId="17F15D4D">
      <w:pPr>
        <w:spacing w:line="264" w:lineRule="auto"/>
        <w:rPr>
          <w:rFonts w:hint="eastAsia" w:ascii="黑体" w:hAnsi="宋体" w:eastAsia="黑体"/>
          <w:sz w:val="18"/>
          <w:szCs w:val="18"/>
        </w:rPr>
      </w:pPr>
    </w:p>
    <w:p w14:paraId="66389CC9">
      <w:pPr>
        <w:spacing w:line="264" w:lineRule="auto"/>
        <w:jc w:val="center"/>
        <w:rPr>
          <w:rFonts w:hint="eastAsia" w:ascii="宋体" w:hAnsi="宋体"/>
          <w:szCs w:val="21"/>
        </w:rPr>
      </w:pPr>
      <w:r>
        <w:rPr>
          <w:rFonts w:hint="eastAsia" w:ascii="仿宋_GB2312" w:hAnsi="宋体" w:eastAsia="仿宋_GB2312"/>
          <w:sz w:val="28"/>
          <w:szCs w:val="28"/>
        </w:rPr>
        <w:t>第一作者</w:t>
      </w:r>
      <w:r>
        <w:rPr>
          <w:rFonts w:hint="eastAsia" w:ascii="仿宋_GB2312" w:hAnsi="宋体" w:eastAsia="仿宋_GB2312"/>
          <w:sz w:val="28"/>
          <w:szCs w:val="28"/>
          <w:vertAlign w:val="superscript"/>
        </w:rPr>
        <w:t>1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  <w:r>
        <w:rPr>
          <w:rFonts w:ascii="仿宋_GB2312" w:hAnsi="宋体" w:eastAsia="仿宋_GB2312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>责任作者</w:t>
      </w:r>
      <w:r>
        <w:rPr>
          <w:rFonts w:hint="eastAsia" w:ascii="仿宋_GB2312" w:hAnsi="宋体" w:eastAsia="仿宋_GB2312"/>
          <w:sz w:val="28"/>
          <w:szCs w:val="28"/>
          <w:vertAlign w:val="superscript"/>
        </w:rPr>
        <w:t>1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  <w:r>
        <w:rPr>
          <w:rFonts w:ascii="仿宋_GB2312" w:hAnsi="宋体" w:eastAsia="仿宋_GB2312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>其他作者</w:t>
      </w:r>
      <w:r>
        <w:rPr>
          <w:rFonts w:hint="eastAsia" w:ascii="仿宋_GB2312" w:hAnsi="宋体" w:eastAsia="仿宋_GB2312"/>
          <w:sz w:val="28"/>
          <w:szCs w:val="28"/>
          <w:vertAlign w:val="superscript"/>
        </w:rPr>
        <w:t>2</w:t>
      </w:r>
      <w:r>
        <w:rPr>
          <w:rFonts w:hint="eastAsia" w:ascii="宋体" w:hAnsi="宋体"/>
          <w:sz w:val="18"/>
          <w:szCs w:val="18"/>
        </w:rPr>
        <w:t>（作者顺序按贡献排，居中）</w:t>
      </w:r>
    </w:p>
    <w:p w14:paraId="2BF8152E">
      <w:pPr>
        <w:spacing w:line="264" w:lineRule="auto"/>
        <w:jc w:val="center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（1.作者单位，单位所在省 城市 邮编； 2.</w:t>
      </w:r>
      <w:r>
        <w:rPr>
          <w:rFonts w:hint="eastAsia" w:ascii="宋体" w:hAnsi="宋体"/>
          <w:bCs/>
          <w:sz w:val="18"/>
          <w:szCs w:val="18"/>
        </w:rPr>
        <w:t xml:space="preserve"> </w:t>
      </w:r>
      <w:r>
        <w:rPr>
          <w:rFonts w:hint="eastAsia" w:ascii="宋体" w:hAnsi="宋体"/>
          <w:sz w:val="18"/>
          <w:szCs w:val="18"/>
        </w:rPr>
        <w:t>作者单位，单位所在省 城市 邮编</w:t>
      </w:r>
      <w:r>
        <w:rPr>
          <w:rFonts w:hint="eastAsia" w:ascii="宋体" w:hAnsi="宋体"/>
          <w:bCs/>
          <w:sz w:val="18"/>
          <w:szCs w:val="18"/>
        </w:rPr>
        <w:t>）</w:t>
      </w:r>
      <w:r>
        <w:rPr>
          <w:rFonts w:hint="eastAsia" w:ascii="宋体" w:hAnsi="宋体"/>
          <w:sz w:val="18"/>
          <w:szCs w:val="18"/>
        </w:rPr>
        <w:t>（居中）</w:t>
      </w:r>
    </w:p>
    <w:p w14:paraId="6AB3FC14">
      <w:pPr>
        <w:spacing w:line="264" w:lineRule="auto"/>
        <w:jc w:val="both"/>
        <w:rPr>
          <w:rFonts w:hint="eastAsia" w:ascii="宋体" w:hAnsi="宋体"/>
          <w:sz w:val="18"/>
          <w:szCs w:val="18"/>
        </w:rPr>
      </w:pPr>
    </w:p>
    <w:p w14:paraId="69C67822">
      <w:pPr>
        <w:ind w:left="74" w:leftChars="0" w:right="74" w:rightChars="0" w:firstLine="0" w:firstLineChars="0"/>
        <w:rPr>
          <w:rFonts w:hAnsi="宋体"/>
          <w:sz w:val="18"/>
          <w:szCs w:val="18"/>
          <w:highlight w:val="none"/>
        </w:rPr>
      </w:pPr>
      <w:r>
        <w:rPr>
          <w:rFonts w:eastAsia="黑体"/>
          <w:sz w:val="18"/>
          <w:szCs w:val="18"/>
        </w:rPr>
        <w:t>摘要：</w:t>
      </w:r>
      <w:r>
        <w:rPr>
          <w:rFonts w:hint="eastAsia" w:ascii="宋体" w:hAnsi="宋体" w:eastAsia="宋体" w:cs="Times New Roman"/>
          <w:w w:val="90"/>
          <w:sz w:val="18"/>
          <w:szCs w:val="18"/>
        </w:rPr>
        <w:t>【</w:t>
      </w:r>
      <w:r>
        <w:rPr>
          <w:rFonts w:hint="eastAsia" w:ascii="黑体" w:hAnsi="黑体" w:eastAsia="黑体" w:cs="黑体"/>
          <w:w w:val="90"/>
          <w:sz w:val="18"/>
          <w:szCs w:val="18"/>
        </w:rPr>
        <w:t>目的</w:t>
      </w:r>
      <w:r>
        <w:rPr>
          <w:rFonts w:hint="eastAsia" w:ascii="宋体" w:hAnsi="宋体" w:eastAsia="宋体" w:cs="Times New Roman"/>
          <w:w w:val="90"/>
          <w:sz w:val="18"/>
          <w:szCs w:val="18"/>
        </w:rPr>
        <w:t>】……</w:t>
      </w:r>
      <w:r>
        <w:rPr>
          <w:rFonts w:hint="eastAsia" w:ascii="黑体" w:hAnsi="黑体" w:eastAsia="黑体"/>
          <w:sz w:val="18"/>
          <w:szCs w:val="18"/>
        </w:rPr>
        <w:t>。</w:t>
      </w:r>
      <w:r>
        <w:rPr>
          <w:rFonts w:hint="eastAsia" w:ascii="宋体" w:hAnsi="宋体"/>
          <w:w w:val="90"/>
          <w:sz w:val="18"/>
          <w:szCs w:val="18"/>
        </w:rPr>
        <w:t>【</w:t>
      </w:r>
      <w:r>
        <w:rPr>
          <w:rFonts w:hint="eastAsia" w:ascii="黑体" w:hAnsi="黑体" w:eastAsia="黑体"/>
          <w:w w:val="95"/>
          <w:sz w:val="18"/>
          <w:szCs w:val="18"/>
        </w:rPr>
        <w:t>方法</w:t>
      </w:r>
      <w:r>
        <w:rPr>
          <w:rFonts w:hint="eastAsia" w:ascii="宋体" w:hAnsi="宋体"/>
          <w:w w:val="90"/>
          <w:sz w:val="18"/>
          <w:szCs w:val="18"/>
        </w:rPr>
        <w:t>】</w:t>
      </w:r>
      <w:r>
        <w:rPr>
          <w:rFonts w:hint="eastAsia" w:ascii="黑体" w:hAnsi="黑体" w:eastAsia="黑体"/>
          <w:sz w:val="18"/>
          <w:szCs w:val="18"/>
        </w:rPr>
        <w:t>……。</w:t>
      </w:r>
      <w:r>
        <w:rPr>
          <w:rFonts w:hint="eastAsia" w:ascii="宋体" w:hAnsi="宋体"/>
          <w:w w:val="90"/>
          <w:sz w:val="18"/>
          <w:szCs w:val="18"/>
        </w:rPr>
        <w:t>【</w:t>
      </w:r>
      <w:r>
        <w:rPr>
          <w:rFonts w:hint="eastAsia" w:ascii="黑体" w:hAnsi="黑体" w:eastAsia="黑体"/>
          <w:w w:val="95"/>
          <w:sz w:val="18"/>
          <w:szCs w:val="18"/>
        </w:rPr>
        <w:t>结果</w:t>
      </w:r>
      <w:r>
        <w:rPr>
          <w:rFonts w:hint="eastAsia" w:ascii="宋体" w:hAnsi="宋体"/>
          <w:w w:val="90"/>
          <w:sz w:val="18"/>
          <w:szCs w:val="18"/>
        </w:rPr>
        <w:t>】（1）</w:t>
      </w:r>
      <w:r>
        <w:rPr>
          <w:rFonts w:hint="eastAsia" w:ascii="黑体" w:hAnsi="黑体" w:eastAsia="黑体"/>
          <w:sz w:val="18"/>
          <w:szCs w:val="18"/>
        </w:rPr>
        <w:t>……；</w:t>
      </w:r>
      <w:r>
        <w:rPr>
          <w:rFonts w:hint="eastAsia" w:ascii="宋体" w:hAnsi="宋体"/>
          <w:sz w:val="18"/>
          <w:szCs w:val="18"/>
        </w:rPr>
        <w:t>（2）</w:t>
      </w:r>
      <w:r>
        <w:rPr>
          <w:rFonts w:hint="eastAsia" w:ascii="黑体" w:hAnsi="黑体" w:eastAsia="黑体"/>
          <w:sz w:val="18"/>
          <w:szCs w:val="18"/>
        </w:rPr>
        <w:t>……；</w:t>
      </w:r>
      <w:r>
        <w:rPr>
          <w:rFonts w:hint="eastAsia" w:ascii="宋体" w:hAnsi="宋体"/>
          <w:sz w:val="18"/>
          <w:szCs w:val="18"/>
        </w:rPr>
        <w:t>（3）</w:t>
      </w:r>
      <w:r>
        <w:rPr>
          <w:rFonts w:hint="eastAsia" w:ascii="黑体" w:hAnsi="黑体" w:eastAsia="黑体"/>
          <w:sz w:val="18"/>
          <w:szCs w:val="18"/>
        </w:rPr>
        <w:t>……。</w:t>
      </w:r>
      <w:r>
        <w:rPr>
          <w:rFonts w:hint="eastAsia" w:ascii="宋体"/>
          <w:w w:val="80"/>
          <w:sz w:val="17"/>
        </w:rPr>
        <w:t>【</w:t>
      </w:r>
      <w:r>
        <w:rPr>
          <w:rFonts w:hint="eastAsia" w:ascii="黑体" w:eastAsia="黑体"/>
          <w:sz w:val="18"/>
          <w:szCs w:val="18"/>
        </w:rPr>
        <w:t>结论</w:t>
      </w:r>
      <w:r>
        <w:rPr>
          <w:rFonts w:hint="eastAsia" w:ascii="宋体"/>
          <w:w w:val="80"/>
          <w:sz w:val="17"/>
        </w:rPr>
        <w:t>】</w:t>
      </w:r>
      <w:r>
        <w:rPr>
          <w:rFonts w:hint="eastAsia" w:ascii="黑体" w:hAnsi="黑体" w:eastAsia="黑体"/>
          <w:sz w:val="18"/>
          <w:szCs w:val="18"/>
        </w:rPr>
        <w:t>……</w:t>
      </w:r>
      <w:r>
        <w:rPr>
          <w:rFonts w:hint="eastAsia" w:hAnsi="宋体"/>
          <w:sz w:val="18"/>
          <w:szCs w:val="18"/>
          <w:highlight w:val="none"/>
        </w:rPr>
        <w:t>。</w:t>
      </w:r>
    </w:p>
    <w:p w14:paraId="0213F63A">
      <w:pPr>
        <w:ind w:left="74" w:leftChars="0" w:right="74" w:rightChars="0" w:firstLine="0" w:firstLineChars="0"/>
        <w:rPr>
          <w:rFonts w:hint="eastAsia"/>
          <w:szCs w:val="21"/>
          <w:highlight w:val="none"/>
        </w:rPr>
      </w:pPr>
    </w:p>
    <w:p w14:paraId="2F24A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4" w:leftChars="0" w:right="74" w:rightChars="0" w:firstLine="360" w:firstLineChars="200"/>
        <w:textAlignment w:val="auto"/>
        <w:rPr>
          <w:rFonts w:hint="eastAsia" w:ascii="宋体" w:hAnsi="宋体"/>
          <w:sz w:val="17"/>
          <w:highlight w:val="none"/>
        </w:rPr>
      </w:pPr>
      <w:r>
        <w:rPr>
          <w:rFonts w:hint="eastAsia" w:ascii="宋体" w:hAnsi="宋体"/>
          <w:sz w:val="18"/>
          <w:szCs w:val="18"/>
          <w:highlight w:val="none"/>
        </w:rPr>
        <w:t>（</w:t>
      </w:r>
      <w:r>
        <w:rPr>
          <w:rFonts w:ascii="宋体" w:hAnsi="宋体"/>
          <w:sz w:val="18"/>
          <w:szCs w:val="18"/>
          <w:highlight w:val="none"/>
        </w:rPr>
        <w:t>摘要</w:t>
      </w:r>
      <w:r>
        <w:rPr>
          <w:rFonts w:hint="eastAsia" w:ascii="宋体" w:hAnsi="宋体"/>
          <w:sz w:val="18"/>
          <w:szCs w:val="18"/>
          <w:highlight w:val="none"/>
        </w:rPr>
        <w:t>分为四部分：</w:t>
      </w:r>
      <w:r>
        <w:rPr>
          <w:rFonts w:ascii="宋体" w:hAnsi="宋体"/>
          <w:sz w:val="18"/>
          <w:szCs w:val="18"/>
          <w:highlight w:val="none"/>
        </w:rPr>
        <w:t>目的、方法、结果和结论</w:t>
      </w:r>
      <w:r>
        <w:rPr>
          <w:rFonts w:hint="eastAsia" w:ascii="宋体" w:hAnsi="宋体"/>
          <w:sz w:val="18"/>
          <w:szCs w:val="18"/>
          <w:highlight w:val="none"/>
        </w:rPr>
        <w:t>。目的一般一句话概括，注意目的不是意义；方法可参考以下格式：利用……和……方法，对……进行研究；结果尽量分条概括主要结果，非综述类要有数据支撑；结论提炼概括结果，或者启示性的意义。摘要</w:t>
      </w:r>
      <w:r>
        <w:rPr>
          <w:rFonts w:ascii="宋体" w:hAnsi="宋体"/>
          <w:sz w:val="18"/>
          <w:szCs w:val="18"/>
          <w:highlight w:val="none"/>
        </w:rPr>
        <w:t>具有独立性和自明性，</w:t>
      </w:r>
      <w:r>
        <w:rPr>
          <w:rFonts w:hint="eastAsia" w:ascii="宋体" w:hAnsi="宋体"/>
          <w:sz w:val="18"/>
          <w:szCs w:val="18"/>
          <w:highlight w:val="none"/>
        </w:rPr>
        <w:t>一般</w:t>
      </w:r>
      <w:r>
        <w:rPr>
          <w:rFonts w:ascii="宋体" w:hAnsi="宋体"/>
          <w:sz w:val="18"/>
          <w:szCs w:val="18"/>
          <w:highlight w:val="none"/>
        </w:rPr>
        <w:t>不出现图、表、数学公式、化学结构式和非公知公用的符号、术语和缩略语。</w:t>
      </w:r>
      <w:r>
        <w:rPr>
          <w:rFonts w:hint="eastAsia" w:ascii="宋体" w:hAnsi="宋体"/>
          <w:sz w:val="18"/>
          <w:szCs w:val="18"/>
          <w:highlight w:val="none"/>
        </w:rPr>
        <w:t>）</w:t>
      </w:r>
    </w:p>
    <w:p w14:paraId="55A12BB7">
      <w:pPr>
        <w:spacing w:line="264" w:lineRule="auto"/>
        <w:ind w:left="74" w:leftChars="0" w:right="74" w:rightChars="0" w:firstLine="0" w:firstLineChars="0"/>
        <w:jc w:val="both"/>
        <w:rPr>
          <w:rFonts w:hint="eastAsia"/>
          <w:sz w:val="18"/>
          <w:szCs w:val="18"/>
          <w:highlight w:val="none"/>
        </w:rPr>
      </w:pPr>
      <w:r>
        <w:rPr>
          <w:rFonts w:eastAsia="黑体"/>
          <w:sz w:val="18"/>
          <w:szCs w:val="18"/>
          <w:highlight w:val="none"/>
        </w:rPr>
        <w:t>关键词：</w:t>
      </w:r>
      <w:r>
        <w:rPr>
          <w:rFonts w:hAnsi="宋体"/>
          <w:sz w:val="18"/>
          <w:szCs w:val="18"/>
          <w:highlight w:val="none"/>
        </w:rPr>
        <w:t>一般选</w:t>
      </w:r>
      <w:r>
        <w:rPr>
          <w:sz w:val="18"/>
          <w:szCs w:val="18"/>
          <w:highlight w:val="none"/>
        </w:rPr>
        <w:t>3～8</w:t>
      </w:r>
      <w:r>
        <w:rPr>
          <w:rFonts w:hAnsi="宋体"/>
          <w:sz w:val="18"/>
          <w:szCs w:val="18"/>
          <w:highlight w:val="none"/>
        </w:rPr>
        <w:t>个关键词。</w:t>
      </w:r>
      <w:r>
        <w:rPr>
          <w:rFonts w:eastAsia="楷体_GB2312"/>
          <w:sz w:val="18"/>
          <w:szCs w:val="18"/>
          <w:highlight w:val="none"/>
        </w:rPr>
        <w:t>（</w:t>
      </w:r>
      <w:r>
        <w:rPr>
          <w:rFonts w:hAnsi="宋体"/>
          <w:color w:val="auto"/>
          <w:sz w:val="18"/>
          <w:szCs w:val="18"/>
          <w:highlight w:val="none"/>
        </w:rPr>
        <w:t>词间用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分号“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”分</w:t>
      </w:r>
      <w:r>
        <w:rPr>
          <w:rFonts w:hAnsi="宋体"/>
          <w:color w:val="auto"/>
          <w:sz w:val="18"/>
          <w:szCs w:val="18"/>
          <w:highlight w:val="none"/>
        </w:rPr>
        <w:t>隔。</w:t>
      </w:r>
      <w:r>
        <w:rPr>
          <w:rFonts w:eastAsia="楷体_GB2312"/>
          <w:sz w:val="18"/>
          <w:szCs w:val="18"/>
          <w:highlight w:val="none"/>
        </w:rPr>
        <w:t>）</w:t>
      </w:r>
      <w:r>
        <w:rPr>
          <w:rFonts w:hint="eastAsia"/>
          <w:sz w:val="18"/>
          <w:szCs w:val="18"/>
          <w:highlight w:val="none"/>
        </w:rPr>
        <w:t>（关键词不要用虚词）</w:t>
      </w:r>
    </w:p>
    <w:p w14:paraId="5FD032C1">
      <w:pPr>
        <w:spacing w:line="264" w:lineRule="auto"/>
        <w:ind w:left="74" w:leftChars="0" w:right="74" w:rightChars="0" w:firstLine="0" w:firstLineChars="0"/>
        <w:jc w:val="both"/>
        <w:rPr>
          <w:rFonts w:eastAsia="黑体"/>
          <w:sz w:val="18"/>
          <w:szCs w:val="18"/>
          <w:highlight w:val="none"/>
        </w:rPr>
      </w:pPr>
      <w:r>
        <w:rPr>
          <w:rFonts w:eastAsia="黑体"/>
          <w:sz w:val="18"/>
          <w:szCs w:val="18"/>
          <w:highlight w:val="none"/>
        </w:rPr>
        <w:t>中图分类号：</w:t>
      </w:r>
      <w:r>
        <w:rPr>
          <w:rFonts w:hint="eastAsia" w:eastAsia="黑体"/>
          <w:sz w:val="18"/>
          <w:szCs w:val="18"/>
          <w:highlight w:val="none"/>
        </w:rPr>
        <w:t>（</w:t>
      </w:r>
      <w:r>
        <w:rPr>
          <w:rFonts w:hint="eastAsia" w:hAnsi="宋体"/>
          <w:sz w:val="18"/>
          <w:szCs w:val="18"/>
          <w:highlight w:val="none"/>
        </w:rPr>
        <w:t>参考本刊相关论文或者中图分类网站搜索</w:t>
      </w:r>
      <w:r>
        <w:rPr>
          <w:rFonts w:hint="eastAsia" w:eastAsia="黑体"/>
          <w:sz w:val="18"/>
          <w:szCs w:val="18"/>
          <w:highlight w:val="none"/>
        </w:rPr>
        <w:t xml:space="preserve">） </w:t>
      </w:r>
      <w:r>
        <w:rPr>
          <w:rFonts w:eastAsia="黑体"/>
          <w:sz w:val="18"/>
          <w:szCs w:val="18"/>
          <w:highlight w:val="none"/>
        </w:rPr>
        <w:t xml:space="preserve"> </w:t>
      </w:r>
    </w:p>
    <w:p w14:paraId="125F1A4F">
      <w:pPr>
        <w:spacing w:line="264" w:lineRule="auto"/>
        <w:ind w:left="74" w:leftChars="0" w:right="74" w:rightChars="0" w:firstLine="0" w:firstLineChars="0"/>
        <w:jc w:val="both"/>
        <w:rPr>
          <w:rFonts w:eastAsia="黑体"/>
          <w:sz w:val="18"/>
          <w:szCs w:val="18"/>
          <w:highlight w:val="none"/>
        </w:rPr>
      </w:pPr>
    </w:p>
    <w:p w14:paraId="4DE0B4F5">
      <w:pPr>
        <w:ind w:right="619"/>
        <w:jc w:val="center"/>
        <w:rPr>
          <w:b/>
          <w:sz w:val="24"/>
        </w:rPr>
      </w:pPr>
      <w:r>
        <w:rPr>
          <w:rFonts w:hint="eastAsia" w:eastAsia="黑体"/>
          <w:sz w:val="36"/>
          <w:szCs w:val="36"/>
        </w:rPr>
        <w:t>E</w:t>
      </w:r>
      <w:r>
        <w:rPr>
          <w:rFonts w:eastAsia="黑体"/>
          <w:sz w:val="36"/>
          <w:szCs w:val="36"/>
        </w:rPr>
        <w:t>nglish title</w:t>
      </w:r>
    </w:p>
    <w:p w14:paraId="3404F3EC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（</w:t>
      </w:r>
      <w:r>
        <w:rPr>
          <w:rFonts w:hint="eastAsia" w:ascii="宋体" w:hAnsi="宋体"/>
          <w:szCs w:val="21"/>
        </w:rPr>
        <w:t>除第一个词和专有名词外，其余词的第－个字母小写。</w:t>
      </w:r>
      <w:r>
        <w:rPr>
          <w:rFonts w:hint="eastAsia"/>
          <w:b/>
          <w:sz w:val="24"/>
        </w:rPr>
        <w:t>）</w:t>
      </w:r>
    </w:p>
    <w:p w14:paraId="0D6C7999">
      <w:pPr>
        <w:spacing w:line="264" w:lineRule="auto"/>
        <w:jc w:val="center"/>
        <w:rPr>
          <w:rFonts w:ascii="仿宋_GB2312" w:hAnsi="宋体" w:eastAsia="仿宋_GB2312"/>
          <w:sz w:val="28"/>
          <w:szCs w:val="28"/>
          <w:vertAlign w:val="superscript"/>
        </w:rPr>
      </w:pPr>
      <w:r>
        <w:rPr>
          <w:w w:val="105"/>
          <w:sz w:val="28"/>
          <w:szCs w:val="28"/>
        </w:rPr>
        <w:t>The f</w:t>
      </w:r>
      <w:r>
        <w:rPr>
          <w:rFonts w:hint="eastAsia"/>
          <w:w w:val="105"/>
          <w:sz w:val="28"/>
          <w:szCs w:val="28"/>
        </w:rPr>
        <w:t>irst</w:t>
      </w:r>
      <w:r>
        <w:rPr>
          <w:w w:val="105"/>
          <w:sz w:val="28"/>
          <w:szCs w:val="28"/>
        </w:rPr>
        <w:t xml:space="preserve"> </w:t>
      </w:r>
      <w:r>
        <w:rPr>
          <w:rFonts w:hint="eastAsia"/>
          <w:w w:val="105"/>
          <w:sz w:val="28"/>
          <w:szCs w:val="28"/>
        </w:rPr>
        <w:t>author</w:t>
      </w:r>
      <w:r>
        <w:rPr>
          <w:rFonts w:hint="eastAsia" w:ascii="仿宋_GB2312" w:hAnsi="宋体" w:eastAsia="仿宋_GB2312"/>
          <w:sz w:val="28"/>
          <w:szCs w:val="28"/>
          <w:vertAlign w:val="superscript"/>
        </w:rPr>
        <w:t xml:space="preserve"> 1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Corresponding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author</w:t>
      </w:r>
      <w:r>
        <w:rPr>
          <w:rFonts w:hint="eastAsia" w:ascii="仿宋_GB2312" w:hAnsi="宋体" w:eastAsia="仿宋_GB2312"/>
          <w:sz w:val="28"/>
          <w:szCs w:val="28"/>
          <w:vertAlign w:val="superscript"/>
        </w:rPr>
        <w:t xml:space="preserve"> 1</w:t>
      </w:r>
      <w:r>
        <w:rPr>
          <w:sz w:val="28"/>
          <w:szCs w:val="28"/>
        </w:rPr>
        <w:t xml:space="preserve"> The o</w:t>
      </w:r>
      <w:r>
        <w:rPr>
          <w:rFonts w:hint="eastAsia"/>
          <w:sz w:val="28"/>
          <w:szCs w:val="28"/>
        </w:rPr>
        <w:t>th</w:t>
      </w:r>
      <w:r>
        <w:rPr>
          <w:sz w:val="28"/>
          <w:szCs w:val="28"/>
        </w:rPr>
        <w:t xml:space="preserve">er </w:t>
      </w:r>
      <w:r>
        <w:rPr>
          <w:rFonts w:hint="eastAsia"/>
          <w:sz w:val="28"/>
          <w:szCs w:val="28"/>
        </w:rPr>
        <w:t>author</w:t>
      </w:r>
      <w:r>
        <w:rPr>
          <w:rFonts w:hint="eastAsia" w:ascii="仿宋_GB2312" w:hAnsi="宋体" w:eastAsia="仿宋_GB2312"/>
          <w:sz w:val="28"/>
          <w:szCs w:val="28"/>
          <w:vertAlign w:val="superscript"/>
        </w:rPr>
        <w:t xml:space="preserve"> 2</w:t>
      </w:r>
    </w:p>
    <w:p w14:paraId="0EC60C0F">
      <w:pPr>
        <w:spacing w:line="264" w:lineRule="auto"/>
        <w:jc w:val="center"/>
        <w:rPr>
          <w:rFonts w:hint="eastAsia" w:ascii="宋体" w:hAnsi="宋体"/>
          <w:szCs w:val="21"/>
        </w:rPr>
      </w:pPr>
      <w:r>
        <w:rPr>
          <w:rFonts w:hint="eastAsia" w:ascii="宋体" w:hAnsi="宋体"/>
          <w:sz w:val="18"/>
          <w:szCs w:val="18"/>
        </w:rPr>
        <w:t>（</w:t>
      </w:r>
      <w:r>
        <w:rPr>
          <w:rFonts w:hint="eastAsia"/>
          <w:sz w:val="18"/>
          <w:szCs w:val="18"/>
        </w:rPr>
        <w:t>作者</w:t>
      </w:r>
      <w:r>
        <w:rPr>
          <w:rFonts w:hint="eastAsia" w:ascii="宋体" w:hAnsi="宋体"/>
          <w:sz w:val="18"/>
          <w:szCs w:val="18"/>
        </w:rPr>
        <w:t>与中文对应，</w:t>
      </w:r>
      <w:r>
        <w:rPr>
          <w:rFonts w:hint="eastAsia"/>
          <w:sz w:val="18"/>
          <w:szCs w:val="18"/>
        </w:rPr>
        <w:t>姓首字母大写。</w:t>
      </w:r>
      <w:r>
        <w:rPr>
          <w:rFonts w:hint="eastAsia" w:ascii="宋体" w:hAnsi="宋体"/>
          <w:sz w:val="18"/>
          <w:szCs w:val="18"/>
        </w:rPr>
        <w:t>）</w:t>
      </w:r>
    </w:p>
    <w:p w14:paraId="5D90BFFB">
      <w:pPr>
        <w:pStyle w:val="3"/>
        <w:numPr>
          <w:ilvl w:val="0"/>
          <w:numId w:val="3"/>
        </w:numPr>
        <w:tabs>
          <w:tab w:val="left" w:pos="1058"/>
          <w:tab w:val="left" w:pos="2253"/>
        </w:tabs>
        <w:spacing w:before="198"/>
        <w:ind w:right="318" w:rightChars="0"/>
        <w:jc w:val="center"/>
        <w:rPr>
          <w:bCs/>
          <w:sz w:val="18"/>
          <w:szCs w:val="18"/>
        </w:rPr>
      </w:pPr>
      <w:r>
        <w:rPr>
          <w:sz w:val="18"/>
          <w:szCs w:val="18"/>
        </w:rPr>
        <w:t>School of Soil and Water Conservation, Beijing Forestry University, Beijing 100083, China;                      2.College of Materials Science and Engineering, Nanjing Forestry University, Nanjing 210037, Jiangsu, China</w:t>
      </w:r>
      <w:r>
        <w:rPr>
          <w:bCs/>
          <w:sz w:val="18"/>
          <w:szCs w:val="18"/>
        </w:rPr>
        <w:t>）</w:t>
      </w:r>
    </w:p>
    <w:p w14:paraId="52C5932C">
      <w:pPr>
        <w:pStyle w:val="12"/>
      </w:pPr>
      <w:r>
        <w:rPr>
          <w:rFonts w:hint="default" w:ascii="Times New Roman" w:hAnsi="Times New Roman" w:cs="Times New Roman"/>
          <w:b/>
          <w:color w:val="auto"/>
          <w:sz w:val="18"/>
          <w:szCs w:val="18"/>
        </w:rPr>
        <w:t xml:space="preserve">Abstract: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[</w:t>
      </w:r>
      <w:r>
        <w:rPr>
          <w:rFonts w:hint="default" w:ascii="Times New Roman" w:hAnsi="Times New Roman" w:cs="Times New Roman"/>
          <w:b/>
          <w:color w:val="auto"/>
          <w:sz w:val="18"/>
          <w:szCs w:val="18"/>
        </w:rPr>
        <w:t>Objective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]</w:t>
      </w:r>
      <w:r>
        <w:rPr>
          <w:rFonts w:hint="default" w:ascii="Times New Roman" w:hAnsi="Times New Roman" w:cs="Times New Roman"/>
          <w:color w:val="auto"/>
          <w:spacing w:val="-79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... [</w:t>
      </w:r>
      <w:r>
        <w:rPr>
          <w:rFonts w:hint="default" w:ascii="Times New Roman" w:hAnsi="Times New Roman" w:cs="Times New Roman"/>
          <w:b/>
          <w:color w:val="auto"/>
          <w:sz w:val="18"/>
          <w:szCs w:val="18"/>
        </w:rPr>
        <w:t>Method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] ... [</w:t>
      </w:r>
      <w:r>
        <w:rPr>
          <w:rFonts w:hint="default" w:ascii="Times New Roman" w:hAnsi="Times New Roman" w:cs="Times New Roman"/>
          <w:b/>
          <w:color w:val="auto"/>
          <w:sz w:val="18"/>
          <w:szCs w:val="18"/>
        </w:rPr>
        <w:t>Result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] (1)...; (2)...; (3).... </w:t>
      </w:r>
      <w:r>
        <w:rPr>
          <w:rFonts w:hint="default" w:ascii="Times New Roman" w:hAnsi="Times New Roman" w:cs="Times New Roman"/>
          <w:b/>
          <w:color w:val="auto"/>
          <w:sz w:val="18"/>
          <w:szCs w:val="18"/>
        </w:rPr>
        <w:t>[Conclusion]</w:t>
      </w:r>
      <w:r>
        <w:rPr>
          <w:rFonts w:hint="default" w:ascii="Times New Roman" w:hAnsi="Times New Roman" w:cs="Times New Roman"/>
          <w:color w:val="auto"/>
          <w:spacing w:val="-67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... </w:t>
      </w:r>
    </w:p>
    <w:p w14:paraId="794D3C0D">
      <w:pPr>
        <w:rPr>
          <w:rFonts w:hint="default" w:ascii="Times New Roman" w:hAnsi="Times New Roman" w:cs="Times New Roman"/>
          <w:color w:val="auto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Keywords</w:t>
      </w:r>
      <w:r>
        <w:rPr>
          <w:color w:val="000000"/>
          <w:sz w:val="18"/>
          <w:szCs w:val="18"/>
        </w:rPr>
        <w:t>: keyword 1; keyword 2; keyword 3; keyword 4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...</w:t>
      </w:r>
    </w:p>
    <w:p w14:paraId="5CCC8425">
      <w:pPr>
        <w:snapToGrid/>
        <w:spacing w:before="120" w:beforeLines="50" w:after="120" w:afterLines="50" w:line="360" w:lineRule="auto"/>
        <w:rPr>
          <w:rFonts w:hint="eastAsia" w:ascii="黑体" w:hAnsi="黑体" w:eastAsia="黑体"/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本刊引言没有一级标题，直接开始正文</w:t>
      </w:r>
    </w:p>
    <w:p w14:paraId="4F53EDE6">
      <w:pPr>
        <w:spacing w:line="264" w:lineRule="auto"/>
        <w:ind w:firstLine="400" w:firstLineChars="200"/>
        <w:rPr>
          <w:rFonts w:hint="eastAsia" w:hAnsi="宋体" w:cs="Arial"/>
          <w:szCs w:val="20"/>
        </w:rPr>
      </w:pPr>
      <w:r>
        <w:rPr>
          <w:rStyle w:val="11"/>
          <w:sz w:val="20"/>
          <w:szCs w:val="20"/>
        </w:rPr>
        <w:footnoteReference w:id="0" w:customMarkFollows="1"/>
        <w:sym w:font="Symbol" w:char="F020"/>
      </w:r>
      <w:r>
        <w:rPr>
          <w:rFonts w:hint="eastAsia"/>
          <w:sz w:val="20"/>
          <w:szCs w:val="20"/>
        </w:rPr>
        <w:t>引言应言简意赅，不要详述同行熟知的，包括教科书上陈述的基本理论、试验方法和基本方程的推导；</w:t>
      </w:r>
      <w:r>
        <w:rPr>
          <w:rFonts w:hint="eastAsia" w:hAnsi="宋体" w:cs="Arial"/>
          <w:sz w:val="20"/>
          <w:szCs w:val="20"/>
        </w:rPr>
        <w:t>背景文献引用，应尽量引用最新的研究进展，避免二次引用和</w:t>
      </w:r>
      <w:r>
        <w:rPr>
          <w:rFonts w:hint="eastAsia" w:hAnsi="宋体" w:cs="Arial"/>
          <w:sz w:val="20"/>
          <w:szCs w:val="20"/>
          <w:lang w:eastAsia="zh-CN"/>
        </w:rPr>
        <w:t>参考</w:t>
      </w:r>
      <w:r>
        <w:rPr>
          <w:rFonts w:hint="eastAsia" w:hAnsi="宋体" w:cs="Arial"/>
          <w:sz w:val="20"/>
          <w:szCs w:val="20"/>
        </w:rPr>
        <w:t>较陈旧的文献。</w:t>
      </w:r>
    </w:p>
    <w:p w14:paraId="5C0DF619">
      <w:pPr>
        <w:spacing w:before="120" w:after="120" w:line="264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  研究区概况及研究方法（</w:t>
      </w:r>
      <w:r>
        <w:rPr>
          <w:rFonts w:ascii="宋体" w:hAnsi="宋体"/>
          <w:sz w:val="20"/>
          <w:szCs w:val="20"/>
        </w:rPr>
        <w:fldChar w:fldCharType="begin"/>
      </w:r>
      <w:r>
        <w:rPr>
          <w:rFonts w:ascii="宋体" w:hAnsi="宋体"/>
          <w:sz w:val="20"/>
          <w:szCs w:val="20"/>
        </w:rPr>
        <w:instrText xml:space="preserve"> </w:instrText>
      </w:r>
      <w:r>
        <w:rPr>
          <w:rFonts w:hint="eastAsia" w:ascii="宋体" w:hAnsi="宋体"/>
          <w:sz w:val="20"/>
          <w:szCs w:val="20"/>
        </w:rPr>
        <w:instrText xml:space="preserve">HYPERLINK "\\\\Dell\\文章稿件\\文章稿件\\赵\\科技论文新规范.doc" \s "1,1123,1138,0,,相邻两级标题字面上尽量不重复。"</w:instrText>
      </w:r>
      <w:r>
        <w:rPr>
          <w:rFonts w:ascii="宋体" w:hAnsi="宋体"/>
          <w:sz w:val="20"/>
          <w:szCs w:val="20"/>
        </w:rPr>
        <w:instrText xml:space="preserve"> </w:instrText>
      </w:r>
      <w:r>
        <w:rPr>
          <w:rFonts w:ascii="宋体" w:hAnsi="宋体"/>
          <w:sz w:val="20"/>
          <w:szCs w:val="20"/>
        </w:rPr>
        <w:fldChar w:fldCharType="separate"/>
      </w:r>
      <w:r>
        <w:rPr>
          <w:rStyle w:val="10"/>
          <w:rFonts w:hint="eastAsia" w:ascii="宋体" w:hAnsi="宋体"/>
          <w:color w:val="auto"/>
          <w:sz w:val="20"/>
          <w:szCs w:val="20"/>
          <w:u w:val="none"/>
        </w:rPr>
        <w:t>相邻两级标题字面上尽量不重复。</w:t>
      </w:r>
      <w:r>
        <w:rPr>
          <w:rFonts w:ascii="宋体" w:hAnsi="宋体"/>
          <w:sz w:val="20"/>
          <w:szCs w:val="20"/>
        </w:rPr>
        <w:fldChar w:fldCharType="end"/>
      </w:r>
      <w:r>
        <w:rPr>
          <w:rFonts w:hint="eastAsia" w:ascii="宋体" w:hAnsi="宋体"/>
          <w:sz w:val="24"/>
        </w:rPr>
        <w:t>）</w:t>
      </w:r>
    </w:p>
    <w:p w14:paraId="1D9AD6EC">
      <w:pPr>
        <w:spacing w:line="264" w:lineRule="auto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</w:rPr>
        <w:t>1.1  二级标题</w:t>
      </w:r>
    </w:p>
    <w:p w14:paraId="4280FE35">
      <w:pPr>
        <w:spacing w:line="264" w:lineRule="auto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1.1.1  三级标题</w:t>
      </w:r>
    </w:p>
    <w:p w14:paraId="10754D3D">
      <w:pPr>
        <w:spacing w:line="264" w:lineRule="auto"/>
        <w:rPr>
          <w:rFonts w:hint="eastAsia" w:eastAsia="楷体_GB2312"/>
          <w:szCs w:val="21"/>
        </w:rPr>
      </w:pPr>
      <w:r>
        <w:rPr>
          <w:rFonts w:hint="eastAsia" w:ascii="楷体_GB2312" w:eastAsia="楷体_GB2312"/>
          <w:szCs w:val="21"/>
        </w:rPr>
        <w:t>1.1.2  三级</w:t>
      </w:r>
      <w:r>
        <w:rPr>
          <w:rFonts w:hint="eastAsia" w:eastAsia="楷体_GB2312"/>
          <w:szCs w:val="21"/>
        </w:rPr>
        <w:t>标题</w:t>
      </w:r>
    </w:p>
    <w:p w14:paraId="4E7AC3F7">
      <w:pPr>
        <w:spacing w:line="264" w:lineRule="auto"/>
        <w:rPr>
          <w:rFonts w:hint="eastAsia" w:ascii="黑体" w:eastAsia="黑体"/>
          <w:sz w:val="20"/>
        </w:rPr>
      </w:pPr>
      <w:r>
        <w:rPr>
          <w:rFonts w:hint="eastAsia" w:ascii="黑体" w:eastAsia="黑体"/>
          <w:szCs w:val="21"/>
        </w:rPr>
        <w:t>1.2  二级标题</w:t>
      </w:r>
    </w:p>
    <w:p w14:paraId="5A7AC6B0">
      <w:pPr>
        <w:spacing w:line="264" w:lineRule="auto"/>
        <w:rPr>
          <w:rFonts w:hint="eastAsia"/>
        </w:rPr>
      </w:pPr>
      <w:r>
        <w:rPr>
          <w:rFonts w:hint="eastAsia"/>
        </w:rPr>
        <w:t>…………</w:t>
      </w:r>
    </w:p>
    <w:p w14:paraId="340B2047">
      <w:pPr>
        <w:spacing w:line="264" w:lineRule="auto"/>
        <w:rPr>
          <w:rFonts w:hint="eastAsia"/>
        </w:rPr>
      </w:pPr>
      <w:r>
        <w:drawing>
          <wp:inline distT="0" distB="0" distL="114300" distR="114300">
            <wp:extent cx="6113780" cy="1016635"/>
            <wp:effectExtent l="0" t="0" r="7620" b="1206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B3376">
      <w:pPr>
        <w:spacing w:line="264" w:lineRule="auto"/>
      </w:pPr>
    </w:p>
    <w:p w14:paraId="5AF237BF">
      <w:pPr>
        <w:spacing w:line="264" w:lineRule="auto"/>
        <w:rPr>
          <w:rFonts w:hint="eastAsia"/>
        </w:rPr>
      </w:pPr>
      <w:r>
        <w:drawing>
          <wp:inline distT="0" distB="0" distL="114300" distR="114300">
            <wp:extent cx="4051300" cy="1104900"/>
            <wp:effectExtent l="0" t="0" r="0" b="0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51578">
      <w:pPr>
        <w:pStyle w:val="2"/>
        <w:rPr>
          <w:rFonts w:hint="eastAsia"/>
        </w:rPr>
      </w:pPr>
      <w:r>
        <w:rPr>
          <w:rFonts w:hint="eastAsia"/>
        </w:rPr>
        <w:t>参考该公式，注意以下事项：</w:t>
      </w:r>
    </w:p>
    <w:p w14:paraId="550219BF">
      <w:pPr>
        <w:pStyle w:val="2"/>
        <w:numPr>
          <w:ilvl w:val="0"/>
          <w:numId w:val="4"/>
        </w:numPr>
      </w:pPr>
      <w:r>
        <w:rPr>
          <w:rFonts w:hint="eastAsia"/>
          <w:lang w:eastAsia="zh-CN"/>
        </w:rPr>
        <w:t>变量用单个字母表示，</w:t>
      </w:r>
      <w:r>
        <w:rPr>
          <w:rFonts w:hint="eastAsia"/>
        </w:rPr>
        <w:t>变量为斜体</w:t>
      </w:r>
      <w:r>
        <w:rPr>
          <w:rFonts w:hint="eastAsia"/>
          <w:lang w:eastAsia="zh-CN"/>
        </w:rPr>
        <w:t>；</w:t>
      </w:r>
      <w:r>
        <w:rPr>
          <w:rFonts w:hint="eastAsia"/>
        </w:rPr>
        <w:t>常量</w:t>
      </w:r>
      <w:r>
        <w:rPr>
          <w:rFonts w:hint="eastAsia"/>
          <w:lang w:eastAsia="zh-CN"/>
        </w:rPr>
        <w:t>为</w:t>
      </w:r>
      <w:r>
        <w:rPr>
          <w:rFonts w:hint="eastAsia"/>
        </w:rPr>
        <w:t>正体</w:t>
      </w:r>
      <w:r>
        <w:rPr>
          <w:rFonts w:hint="eastAsia"/>
          <w:lang w:eastAsia="zh-CN"/>
        </w:rPr>
        <w:t>。</w:t>
      </w:r>
    </w:p>
    <w:p w14:paraId="3E4EA40D">
      <w:pPr>
        <w:numPr>
          <w:ilvl w:val="0"/>
          <w:numId w:val="4"/>
        </w:numPr>
      </w:pPr>
      <w:r>
        <w:rPr>
          <w:rFonts w:hint="eastAsia" w:ascii="宋体" w:hAnsi="宋体"/>
        </w:rPr>
        <w:t>公式的解释，如“式中：…”要顶格接排。</w:t>
      </w:r>
    </w:p>
    <w:p w14:paraId="51E58BC1">
      <w:pPr>
        <w:spacing w:line="264" w:lineRule="auto"/>
        <w:rPr>
          <w:rFonts w:hint="eastAsia"/>
        </w:rPr>
      </w:pPr>
    </w:p>
    <w:p w14:paraId="39CCD4BA">
      <w:pPr>
        <w:spacing w:before="120" w:beforeLines="50" w:after="120" w:afterLines="50" w:line="264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  结果与分析</w:t>
      </w:r>
    </w:p>
    <w:p w14:paraId="34FB6CCB">
      <w:pPr>
        <w:spacing w:line="264" w:lineRule="auto"/>
        <w:ind w:firstLine="240" w:firstLineChars="100"/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</w:rPr>
        <w:t>…………</w:t>
      </w:r>
    </w:p>
    <w:p w14:paraId="5ACDA79A">
      <w:pPr>
        <w:spacing w:line="264" w:lineRule="auto"/>
        <w:rPr>
          <w:rFonts w:hint="eastAsia" w:ascii="黑体" w:eastAsia="黑体"/>
          <w:sz w:val="24"/>
        </w:rPr>
      </w:pPr>
    </w:p>
    <w:p w14:paraId="0544A38D">
      <w:pPr>
        <w:spacing w:line="264" w:lineRule="auto"/>
        <w:rPr>
          <w:rFonts w:hint="eastAsia" w:ascii="宋体" w:hAnsi="宋体"/>
          <w:color w:val="0000FF"/>
          <w:szCs w:val="21"/>
        </w:rPr>
      </w:pPr>
      <w:r>
        <w:rPr>
          <w:rFonts w:hint="eastAsia" w:ascii="黑体" w:eastAsia="黑体"/>
          <w:sz w:val="24"/>
        </w:rPr>
        <w:t>图表规范：</w:t>
      </w:r>
      <w:r>
        <w:rPr>
          <w:rFonts w:hint="eastAsia" w:ascii="宋体" w:hAnsi="宋体"/>
          <w:color w:val="0000FF"/>
          <w:szCs w:val="21"/>
        </w:rPr>
        <w:t xml:space="preserve"> </w:t>
      </w:r>
    </w:p>
    <w:p w14:paraId="2B577132">
      <w:pPr>
        <w:spacing w:line="264" w:lineRule="auto"/>
        <w:rPr>
          <w:rFonts w:hint="eastAsia" w:ascii="宋体" w:hAnsi="宋体" w:eastAsia="宋体" w:cs="宋体"/>
          <w:color w:val="auto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Cs w:val="21"/>
        </w:rPr>
        <w:t>（1）图</w:t>
      </w:r>
      <w:r>
        <w:rPr>
          <w:rFonts w:hint="eastAsia" w:ascii="宋体" w:hAnsi="宋体" w:eastAsia="宋体" w:cs="宋体"/>
          <w:color w:val="auto"/>
          <w:szCs w:val="21"/>
          <w:lang w:eastAsia="zh-Hans"/>
        </w:rPr>
        <w:t>表一般随文排，先见文字后见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图</w:t>
      </w:r>
      <w:r>
        <w:rPr>
          <w:rFonts w:hint="eastAsia" w:ascii="宋体" w:hAnsi="宋体" w:eastAsia="宋体" w:cs="宋体"/>
          <w:color w:val="auto"/>
          <w:szCs w:val="21"/>
          <w:lang w:eastAsia="zh-Hans"/>
        </w:rPr>
        <w:t>表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；</w:t>
      </w:r>
    </w:p>
    <w:p w14:paraId="045AAFB9">
      <w:pPr>
        <w:spacing w:line="264" w:lineRule="auto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</w:rPr>
        <w:t>（2）图表题名应简短确切，图题、表题、图注、表注、图横纵坐标、图例名称及表头均应给出中英文对照</w:t>
      </w:r>
      <w:r>
        <w:rPr>
          <w:rFonts w:hint="eastAsia" w:ascii="宋体" w:hAnsi="宋体" w:eastAsia="宋体" w:cs="宋体"/>
          <w:szCs w:val="21"/>
          <w:lang w:eastAsia="zh-CN"/>
        </w:rPr>
        <w:t>；</w:t>
      </w:r>
    </w:p>
    <w:p w14:paraId="6EE33447">
      <w:pPr>
        <w:rPr>
          <w:rFonts w:hint="default" w:ascii="Times New Roman" w:hAnsi="Times New Roman" w:cs="Times New Roman"/>
          <w:color w:val="auto"/>
          <w:sz w:val="18"/>
          <w:szCs w:val="18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（3）所有</w:t>
      </w:r>
      <w:r>
        <w:rPr>
          <w:rFonts w:hint="eastAsia" w:ascii="宋体" w:hAnsi="宋体" w:eastAsia="宋体" w:cs="宋体"/>
          <w:szCs w:val="21"/>
        </w:rPr>
        <w:t>图均需提供两套，其中一套为不标任何字母、符号的空白图，以便排版植字。图、表均应具有自明性，图、图题、图注、图例</w:t>
      </w:r>
      <w:r>
        <w:rPr>
          <w:rFonts w:hint="eastAsia" w:ascii="宋体" w:hAnsi="宋体" w:cs="宋体"/>
          <w:szCs w:val="21"/>
          <w:lang w:eastAsia="zh-CN"/>
        </w:rPr>
        <w:t>表达</w:t>
      </w:r>
      <w:r>
        <w:rPr>
          <w:rFonts w:hint="eastAsia" w:ascii="宋体" w:hAnsi="宋体" w:eastAsia="宋体" w:cs="宋体"/>
          <w:szCs w:val="21"/>
        </w:rPr>
        <w:t>清楚明了。如数据已绘成图，不再重复列表。表格采用国际通用的三线表。</w:t>
      </w:r>
    </w:p>
    <w:p w14:paraId="37CEE17A"/>
    <w:p w14:paraId="485F0FC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left="0" w:right="0" w:firstLine="420" w:firstLineChars="200"/>
        <w:textAlignment w:val="auto"/>
        <w:rPr>
          <w:rFonts w:hint="eastAsia" w:ascii="宋体" w:hAnsi="宋体"/>
          <w:szCs w:val="21"/>
        </w:rPr>
      </w:pPr>
      <w:r>
        <w:drawing>
          <wp:inline distT="0" distB="0" distL="114300" distR="114300">
            <wp:extent cx="4610100" cy="3070860"/>
            <wp:effectExtent l="0" t="0" r="762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091DB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eastAsia"/>
        </w:rPr>
      </w:pPr>
      <w:r>
        <w:rPr>
          <w:rFonts w:hint="eastAsia"/>
        </w:rPr>
        <w:t>参考</w:t>
      </w:r>
      <w:r>
        <w:rPr>
          <w:rFonts w:hint="eastAsia"/>
          <w:lang w:val="en-US" w:eastAsia="zh-CN"/>
        </w:rPr>
        <w:t>上</w:t>
      </w:r>
      <w:r>
        <w:rPr>
          <w:rFonts w:hint="eastAsia"/>
        </w:rPr>
        <w:t>图注意以下事项：</w:t>
      </w:r>
    </w:p>
    <w:p w14:paraId="4BDC331B">
      <w:pPr>
        <w:pStyle w:val="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bidi w:val="0"/>
        <w:adjustRightInd/>
        <w:ind w:left="0" w:right="0"/>
        <w:textAlignment w:val="auto"/>
      </w:pPr>
      <w:r>
        <w:rPr>
          <w:rFonts w:hint="eastAsia"/>
          <w:lang w:val="en-US" w:eastAsia="zh-CN"/>
        </w:rPr>
        <w:t>涉及国界线地图的底图需来自“标准地图服务”网站http://bzdt.ch.mnr.gov.cn/index.html</w:t>
      </w:r>
      <w:r>
        <w:rPr>
          <w:rFonts w:hint="eastAsia"/>
        </w:rPr>
        <w:t>。</w:t>
      </w:r>
    </w:p>
    <w:p w14:paraId="648656E3">
      <w:pPr>
        <w:pStyle w:val="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eastAsia" w:ascii="黑体" w:eastAsia="黑体"/>
          <w:sz w:val="24"/>
        </w:rPr>
      </w:pPr>
      <w:r>
        <w:rPr>
          <w:rFonts w:hint="eastAsia"/>
          <w:lang w:eastAsia="zh-CN"/>
        </w:rPr>
        <w:t>地图要标明经纬度、指北针和比例尺。</w:t>
      </w:r>
    </w:p>
    <w:p w14:paraId="5BAC0086">
      <w:pPr>
        <w:pStyle w:val="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eastAsia" w:ascii="黑体" w:eastAsia="黑体"/>
          <w:sz w:val="24"/>
        </w:rPr>
      </w:pPr>
      <w:r>
        <w:rPr>
          <w:rFonts w:hint="eastAsia"/>
          <w:lang w:val="en-US" w:eastAsia="zh-CN"/>
        </w:rPr>
        <w:t>学报从2025年第1期起，图表内中文无需补充英文对译，物种名需补充拉丁名。</w:t>
      </w:r>
    </w:p>
    <w:p w14:paraId="15C1E0C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ind w:right="0" w:rightChars="0"/>
        <w:jc w:val="left"/>
        <w:textAlignment w:val="auto"/>
        <w:rPr>
          <w:rFonts w:hint="eastAsia"/>
          <w:lang w:val="en-US" w:eastAsia="zh-CN"/>
        </w:rPr>
      </w:pPr>
    </w:p>
    <w:p w14:paraId="2F6CA7D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ind w:right="0" w:rightChars="0"/>
        <w:jc w:val="left"/>
        <w:textAlignment w:val="auto"/>
        <w:rPr>
          <w:rFonts w:hint="eastAsia"/>
          <w:lang w:val="en-US" w:eastAsia="zh-CN"/>
        </w:rPr>
      </w:pPr>
    </w:p>
    <w:p w14:paraId="74DE29F4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before="120" w:beforeLines="50" w:after="120" w:afterLines="50" w:line="264" w:lineRule="auto"/>
        <w:ind w:left="0" w:right="0"/>
        <w:jc w:val="center"/>
        <w:textAlignment w:val="auto"/>
      </w:pPr>
      <w:r>
        <w:drawing>
          <wp:inline distT="0" distB="0" distL="114300" distR="114300">
            <wp:extent cx="5273675" cy="4036695"/>
            <wp:effectExtent l="0" t="0" r="1460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C3A17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eastAsia"/>
        </w:rPr>
      </w:pPr>
      <w:r>
        <w:rPr>
          <w:rFonts w:hint="eastAsia"/>
        </w:rPr>
        <w:t>参考</w:t>
      </w:r>
      <w:r>
        <w:rPr>
          <w:rFonts w:hint="eastAsia"/>
          <w:lang w:val="en-US" w:eastAsia="zh-CN"/>
        </w:rPr>
        <w:t>上</w:t>
      </w:r>
      <w:r>
        <w:rPr>
          <w:rFonts w:hint="eastAsia"/>
        </w:rPr>
        <w:t>图注意以下事项：</w:t>
      </w:r>
    </w:p>
    <w:p w14:paraId="7759834A">
      <w:pPr>
        <w:pStyle w:val="2"/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ind w:left="0" w:right="0"/>
        <w:textAlignment w:val="auto"/>
      </w:pPr>
      <w:r>
        <w:rPr>
          <w:rFonts w:hint="eastAsia"/>
        </w:rPr>
        <w:t>坐标刻度朝内有封口。</w:t>
      </w:r>
    </w:p>
    <w:p w14:paraId="42B351F4">
      <w:pPr>
        <w:pStyle w:val="2"/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ind w:left="0" w:right="0"/>
        <w:textAlignment w:val="auto"/>
      </w:pPr>
      <w:r>
        <w:rPr>
          <w:rFonts w:hint="eastAsia"/>
        </w:rPr>
        <w:t>图注放在图题上方，不用写“注”。</w:t>
      </w:r>
    </w:p>
    <w:p w14:paraId="2A7C4B45">
      <w:pPr>
        <w:pStyle w:val="2"/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ind w:left="0" w:right="0"/>
        <w:textAlignment w:val="auto"/>
      </w:pPr>
      <w:r>
        <w:rPr>
          <w:rFonts w:hint="eastAsia"/>
          <w:szCs w:val="21"/>
        </w:rPr>
        <w:t>图表中变量名与单位之间用“/”分隔。</w:t>
      </w:r>
    </w:p>
    <w:p w14:paraId="53A98A9D">
      <w:pPr>
        <w:pStyle w:val="2"/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eastAsia"/>
        </w:rPr>
      </w:pPr>
      <w:r>
        <w:rPr>
          <w:rFonts w:hint="eastAsia"/>
        </w:rPr>
        <w:t>单位一般放在英文变量名称后面，</w:t>
      </w:r>
      <w:r>
        <w:rPr>
          <w:rFonts w:hint="eastAsia"/>
          <w:szCs w:val="21"/>
        </w:rPr>
        <w:t>复合单位采用指数积形式</w:t>
      </w:r>
      <w:r>
        <w:rPr>
          <w:rFonts w:hint="eastAsia"/>
        </w:rPr>
        <w:t>。</w:t>
      </w:r>
    </w:p>
    <w:p w14:paraId="3BE89B0F">
      <w:pPr>
        <w:pStyle w:val="2"/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eastAsia"/>
        </w:rPr>
      </w:pPr>
      <w:r>
        <w:rPr>
          <w:rFonts w:hint="eastAsia"/>
          <w:lang w:eastAsia="zh-CN"/>
        </w:rPr>
        <w:t>图表自明，</w:t>
      </w:r>
      <w:r>
        <w:rPr>
          <w:rFonts w:hint="eastAsia"/>
          <w:lang w:val="en-US" w:eastAsia="zh-CN"/>
        </w:rPr>
        <w:t>有些小图需</w:t>
      </w:r>
      <w:r>
        <w:rPr>
          <w:rFonts w:hint="eastAsia"/>
          <w:lang w:eastAsia="zh-CN"/>
        </w:rPr>
        <w:t>补充中文图题。</w:t>
      </w:r>
    </w:p>
    <w:p w14:paraId="3F41C4C6">
      <w:pPr>
        <w:pStyle w:val="1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before="120" w:beforeLines="50" w:line="264" w:lineRule="auto"/>
        <w:ind w:left="0" w:right="0"/>
        <w:textAlignment w:val="auto"/>
        <w:rPr>
          <w:rFonts w:hAnsi="宋体"/>
          <w:b w:val="0"/>
          <w:szCs w:val="18"/>
        </w:rPr>
      </w:pPr>
    </w:p>
    <w:p w14:paraId="2F8646A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/>
        <w:textAlignment w:val="auto"/>
      </w:pPr>
      <w:r>
        <w:drawing>
          <wp:inline distT="0" distB="0" distL="114300" distR="114300">
            <wp:extent cx="5267325" cy="1831340"/>
            <wp:effectExtent l="0" t="0" r="5715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B92BC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ascii="黑体" w:hAnsi="宋体"/>
        </w:rPr>
      </w:pPr>
      <w:r>
        <w:rPr>
          <w:rFonts w:hint="eastAsia" w:ascii="黑体" w:hAnsi="宋体"/>
        </w:rPr>
        <w:t>参考</w:t>
      </w:r>
      <w:r>
        <w:rPr>
          <w:rFonts w:hint="eastAsia" w:ascii="黑体" w:hAnsi="宋体"/>
          <w:lang w:val="en-US" w:eastAsia="zh-CN"/>
        </w:rPr>
        <w:t>上</w:t>
      </w:r>
      <w:r>
        <w:rPr>
          <w:rFonts w:hint="eastAsia" w:ascii="黑体" w:hAnsi="宋体"/>
        </w:rPr>
        <w:t>表注意以下事项：</w:t>
      </w:r>
    </w:p>
    <w:p w14:paraId="6B2BA452">
      <w:pPr>
        <w:pStyle w:val="2"/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Ansi="宋体"/>
          <w:szCs w:val="18"/>
        </w:rPr>
      </w:pPr>
      <w:r>
        <w:rPr>
          <w:rFonts w:hint="eastAsia" w:ascii="黑体" w:hAnsi="宋体"/>
        </w:rPr>
        <w:t>表题</w:t>
      </w:r>
      <w:r>
        <w:rPr>
          <w:rFonts w:hint="eastAsia" w:ascii="黑体" w:hAnsi="宋体"/>
          <w:lang w:eastAsia="zh-CN"/>
        </w:rPr>
        <w:t>（中英文对应）。</w:t>
      </w:r>
    </w:p>
    <w:p w14:paraId="58C7AB5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left="0" w:right="0"/>
        <w:textAlignment w:val="auto"/>
        <w:rPr>
          <w:sz w:val="21"/>
          <w:szCs w:val="21"/>
        </w:rPr>
      </w:pPr>
      <w:r>
        <w:rPr>
          <w:rFonts w:hint="eastAsia" w:hAnsi="宋体"/>
          <w:szCs w:val="18"/>
        </w:rPr>
        <w:t>2</w:t>
      </w:r>
      <w:r>
        <w:rPr>
          <w:rFonts w:hAnsi="宋体"/>
          <w:szCs w:val="18"/>
        </w:rPr>
        <w:t>.</w:t>
      </w:r>
      <w:r>
        <w:rPr>
          <w:rFonts w:hAnsi="宋体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采用国际通用的三线表，</w:t>
      </w:r>
      <w:r>
        <w:rPr>
          <w:rFonts w:hint="eastAsia"/>
          <w:sz w:val="21"/>
          <w:szCs w:val="21"/>
          <w:lang w:val="en-US" w:eastAsia="zh-CN"/>
        </w:rPr>
        <w:t>如项目较多可适当添加辅助线</w:t>
      </w:r>
      <w:r>
        <w:rPr>
          <w:rFonts w:hint="eastAsia"/>
          <w:sz w:val="21"/>
          <w:szCs w:val="21"/>
          <w:lang w:eastAsia="zh-CN"/>
        </w:rPr>
        <w:t>。</w:t>
      </w:r>
    </w:p>
    <w:p w14:paraId="076D8918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eastAsia"/>
          <w:b w:val="0"/>
          <w:bCs/>
        </w:rPr>
      </w:pPr>
      <w:r>
        <w:rPr>
          <w:rFonts w:hint="eastAsia" w:hAnsi="宋体"/>
          <w:szCs w:val="18"/>
        </w:rPr>
        <w:t>3</w:t>
      </w:r>
      <w:r>
        <w:rPr>
          <w:rFonts w:hAnsi="宋体"/>
          <w:szCs w:val="18"/>
        </w:rPr>
        <w:t>.</w:t>
      </w:r>
      <w:r>
        <w:rPr>
          <w:rFonts w:hAnsi="宋体"/>
          <w:color w:val="auto"/>
          <w:szCs w:val="18"/>
        </w:rPr>
        <w:t xml:space="preserve"> </w:t>
      </w:r>
      <w:r>
        <w:rPr>
          <w:b w:val="0"/>
          <w:bCs/>
          <w:color w:val="auto"/>
        </w:rPr>
        <w:t>表中同类数据小数点后保留相同位数，</w:t>
      </w:r>
      <w:r>
        <w:rPr>
          <w:rFonts w:hint="eastAsia"/>
          <w:b w:val="0"/>
          <w:bCs/>
          <w:color w:val="auto"/>
        </w:rPr>
        <w:t>数据超过3位，注意</w:t>
      </w:r>
      <w:r>
        <w:rPr>
          <w:b w:val="0"/>
          <w:bCs/>
          <w:color w:val="auto"/>
        </w:rPr>
        <w:t>千分位空格</w:t>
      </w:r>
      <w:r>
        <w:rPr>
          <w:rFonts w:hint="eastAsia"/>
          <w:b w:val="0"/>
          <w:bCs/>
          <w:color w:val="auto"/>
        </w:rPr>
        <w:t>，如1</w:t>
      </w:r>
      <w:r>
        <w:rPr>
          <w:b w:val="0"/>
          <w:bCs/>
          <w:color w:val="auto"/>
        </w:rPr>
        <w:t>23 456.789 1。</w:t>
      </w:r>
    </w:p>
    <w:p w14:paraId="591C54F4"/>
    <w:p w14:paraId="3CBCF967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right="0"/>
        <w:jc w:val="left"/>
        <w:textAlignment w:val="auto"/>
        <w:rPr>
          <w:rFonts w:hint="eastAsia" w:ascii="黑体" w:hAnsi="黑体" w:eastAsia="黑体"/>
          <w:sz w:val="24"/>
          <w:lang w:eastAsia="zh-CN"/>
        </w:rPr>
      </w:pPr>
      <w:r>
        <w:rPr>
          <w:rFonts w:hint="eastAsia" w:ascii="黑体" w:hAnsi="黑体" w:eastAsia="黑体"/>
          <w:sz w:val="24"/>
        </w:rPr>
        <w:t>关于数字</w:t>
      </w:r>
      <w:r>
        <w:rPr>
          <w:rFonts w:hint="eastAsia" w:ascii="黑体" w:hAnsi="黑体" w:eastAsia="黑体"/>
          <w:sz w:val="24"/>
          <w:lang w:eastAsia="zh-CN"/>
        </w:rPr>
        <w:t>和单位</w:t>
      </w:r>
    </w:p>
    <w:p w14:paraId="507049D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right="0" w:firstLine="420" w:firstLineChars="200"/>
        <w:textAlignment w:val="auto"/>
        <w:rPr>
          <w:rFonts w:hint="default" w:ascii="Times New Roman" w:hAnsi="Times New Roman" w:eastAsia="宋体" w:cs="Times New Roman"/>
          <w:sz w:val="21"/>
          <w:szCs w:val="21"/>
          <w:lang w:eastAsia="zh-Hans"/>
        </w:rPr>
      </w:pP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凡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能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使用阿拉伯数字的地方，均使用阿拉伯数字。</w:t>
      </w:r>
    </w:p>
    <w:p w14:paraId="4CC4745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right="0" w:firstLine="420" w:firstLineChars="200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日期和时刻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格式</w:t>
      </w:r>
      <w:r>
        <w:rPr>
          <w:rFonts w:hint="default" w:ascii="Times New Roman" w:hAnsi="Times New Roman" w:eastAsia="宋体" w:cs="Times New Roman"/>
          <w:sz w:val="21"/>
          <w:szCs w:val="21"/>
        </w:rPr>
        <w:t>如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20</w:t>
      </w:r>
      <w:r>
        <w:rPr>
          <w:rFonts w:hint="default" w:ascii="Times New Roman" w:hAnsi="Times New Roman" w:eastAsia="宋体" w:cs="Times New Roman"/>
          <w:sz w:val="21"/>
          <w:szCs w:val="21"/>
        </w:rPr>
        <w:t>22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年</w:t>
      </w:r>
      <w:r>
        <w:rPr>
          <w:rFonts w:hint="default" w:ascii="Times New Roman" w:hAnsi="Times New Roman" w:eastAsia="宋体" w:cs="Times New Roman"/>
          <w:sz w:val="21"/>
          <w:szCs w:val="21"/>
        </w:rPr>
        <w:t>1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月</w:t>
      </w:r>
      <w:r>
        <w:rPr>
          <w:rFonts w:hint="default" w:ascii="Times New Roman" w:hAnsi="Times New Roman" w:eastAsia="宋体" w:cs="Times New Roman"/>
          <w:sz w:val="21"/>
          <w:szCs w:val="21"/>
        </w:rPr>
        <w:t>1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日写成20</w:t>
      </w:r>
      <w:r>
        <w:rPr>
          <w:rFonts w:hint="default" w:ascii="Times New Roman" w:hAnsi="Times New Roman" w:eastAsia="宋体" w:cs="Times New Roman"/>
          <w:sz w:val="21"/>
          <w:szCs w:val="21"/>
        </w:rPr>
        <w:t>22</w:t>
      </w:r>
      <w:r>
        <w:rPr>
          <w:rFonts w:ascii="宋体" w:hAnsi="宋体" w:eastAsia="宋体" w:cs="宋体"/>
          <w:sz w:val="24"/>
          <w:szCs w:val="24"/>
        </w:rPr>
        <w:t>−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0</w:t>
      </w:r>
      <w:r>
        <w:rPr>
          <w:rFonts w:hint="default" w:ascii="Times New Roman" w:hAnsi="Times New Roman" w:eastAsia="宋体" w:cs="Times New Roman"/>
          <w:sz w:val="21"/>
          <w:szCs w:val="21"/>
        </w:rPr>
        <w:t>1</w:t>
      </w:r>
      <w:r>
        <w:rPr>
          <w:rFonts w:ascii="宋体" w:hAnsi="宋体" w:eastAsia="宋体" w:cs="宋体"/>
          <w:sz w:val="24"/>
          <w:szCs w:val="24"/>
        </w:rPr>
        <w:t>−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0</w:t>
      </w:r>
      <w:r>
        <w:rPr>
          <w:rFonts w:hint="default" w:ascii="Times New Roman" w:hAnsi="Times New Roman" w:eastAsia="宋体" w:cs="Times New Roman"/>
          <w:sz w:val="21"/>
          <w:szCs w:val="21"/>
        </w:rPr>
        <w:t>1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或20</w:t>
      </w:r>
      <w:r>
        <w:rPr>
          <w:rFonts w:hint="default" w:ascii="Times New Roman" w:hAnsi="Times New Roman" w:eastAsia="宋体" w:cs="Times New Roman"/>
          <w:sz w:val="21"/>
          <w:szCs w:val="21"/>
        </w:rPr>
        <w:t>22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0</w:t>
      </w:r>
      <w:r>
        <w:rPr>
          <w:rFonts w:hint="default" w:ascii="Times New Roman" w:hAnsi="Times New Roman" w:eastAsia="宋体" w:cs="Times New Roman"/>
          <w:sz w:val="21"/>
          <w:szCs w:val="21"/>
        </w:rPr>
        <w:t>1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0</w:t>
      </w:r>
      <w:r>
        <w:rPr>
          <w:rFonts w:hint="default" w:ascii="Times New Roman" w:hAnsi="Times New Roman" w:eastAsia="宋体" w:cs="Times New Roman"/>
          <w:sz w:val="21"/>
          <w:szCs w:val="21"/>
        </w:rPr>
        <w:t>1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时刻</w:t>
      </w:r>
      <w:r>
        <w:rPr>
          <w:rFonts w:hint="default" w:ascii="Times New Roman" w:hAnsi="Times New Roman" w:eastAsia="宋体" w:cs="Times New Roman"/>
          <w:sz w:val="21"/>
          <w:szCs w:val="21"/>
        </w:rPr>
        <w:t>8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时15分30秒写成</w:t>
      </w:r>
      <w:r>
        <w:rPr>
          <w:rFonts w:hint="default" w:ascii="Times New Roman" w:hAnsi="Times New Roman" w:eastAsia="宋体" w:cs="Times New Roman"/>
          <w:sz w:val="21"/>
          <w:szCs w:val="21"/>
        </w:rPr>
        <w:t>08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:15:30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；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百分数范围如20%～30%不能写成20～30%，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85±2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%不能成85±2%；偏差范围如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25±1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℃不能写成25±1℃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</w:rPr>
        <w:t>220 V±10%应改写为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1"/>
          <w:szCs w:val="21"/>
        </w:rPr>
        <w:t>220±22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1"/>
          <w:szCs w:val="21"/>
        </w:rPr>
        <w:t>V；带单位的量值相乘100×200×300 mm（或mm</w:t>
      </w:r>
      <w:r>
        <w:rPr>
          <w:rFonts w:hint="default" w:ascii="Times New Roman" w:hAnsi="Times New Roman" w:eastAsia="宋体" w:cs="Times New Roman"/>
          <w:sz w:val="21"/>
          <w:szCs w:val="21"/>
          <w:vertAlign w:val="superscript"/>
        </w:rPr>
        <w:t>3</w:t>
      </w:r>
      <w:r>
        <w:rPr>
          <w:rFonts w:hint="default" w:ascii="Times New Roman" w:hAnsi="Times New Roman" w:eastAsia="宋体" w:cs="Times New Roman"/>
          <w:sz w:val="21"/>
          <w:szCs w:val="21"/>
        </w:rPr>
        <w:t>）应改为100 mm×200 mm×300 mm。</w:t>
      </w:r>
    </w:p>
    <w:p w14:paraId="08E407F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right="0"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“—”用于时间、日期起止；地点起止；方位（走向东南—东北）；递进发展；工艺流程。数值范围用“～”。例如：</w:t>
      </w:r>
      <w:r>
        <w:rPr>
          <w:rFonts w:hint="eastAsia"/>
          <w:sz w:val="21"/>
          <w:szCs w:val="21"/>
          <w:lang w:val="en-US" w:eastAsia="zh-CN"/>
        </w:rPr>
        <w:t>1</w:t>
      </w:r>
      <w:r>
        <w:rPr>
          <w:rFonts w:hint="eastAsia"/>
          <w:sz w:val="21"/>
          <w:szCs w:val="21"/>
        </w:rPr>
        <w:t>—</w:t>
      </w:r>
      <w:r>
        <w:rPr>
          <w:rFonts w:hint="eastAsia"/>
          <w:sz w:val="21"/>
          <w:szCs w:val="21"/>
          <w:lang w:val="en-US" w:eastAsia="zh-CN"/>
        </w:rPr>
        <w:t>5</w:t>
      </w:r>
      <w:r>
        <w:rPr>
          <w:rFonts w:hint="eastAsia"/>
          <w:sz w:val="21"/>
          <w:szCs w:val="21"/>
        </w:rPr>
        <w:t>月表示</w:t>
      </w:r>
      <w:r>
        <w:rPr>
          <w:rFonts w:hint="eastAsia"/>
          <w:sz w:val="21"/>
          <w:szCs w:val="21"/>
          <w:lang w:val="en-US" w:eastAsia="zh-CN"/>
        </w:rPr>
        <w:t>1</w:t>
      </w:r>
      <w:r>
        <w:rPr>
          <w:rFonts w:hint="eastAsia"/>
          <w:sz w:val="21"/>
          <w:szCs w:val="21"/>
        </w:rPr>
        <w:t>月到</w:t>
      </w:r>
      <w:r>
        <w:rPr>
          <w:rFonts w:hint="eastAsia"/>
          <w:sz w:val="21"/>
          <w:szCs w:val="21"/>
          <w:lang w:val="en-US" w:eastAsia="zh-CN"/>
        </w:rPr>
        <w:t>5</w:t>
      </w:r>
      <w:r>
        <w:rPr>
          <w:rFonts w:hint="eastAsia"/>
          <w:sz w:val="21"/>
          <w:szCs w:val="21"/>
        </w:rPr>
        <w:t>月；</w:t>
      </w:r>
      <w:r>
        <w:rPr>
          <w:rFonts w:hint="eastAsia"/>
          <w:sz w:val="21"/>
          <w:szCs w:val="21"/>
          <w:lang w:val="en-US" w:eastAsia="zh-CN"/>
        </w:rPr>
        <w:t>1</w:t>
      </w:r>
      <w:r>
        <w:rPr>
          <w:rFonts w:hint="eastAsia"/>
          <w:sz w:val="21"/>
          <w:szCs w:val="21"/>
        </w:rPr>
        <w:t>～</w:t>
      </w:r>
      <w:r>
        <w:rPr>
          <w:rFonts w:hint="eastAsia"/>
          <w:sz w:val="21"/>
          <w:szCs w:val="21"/>
          <w:lang w:val="en-US" w:eastAsia="zh-CN"/>
        </w:rPr>
        <w:t>5</w:t>
      </w:r>
      <w:r>
        <w:rPr>
          <w:rFonts w:hint="eastAsia"/>
          <w:sz w:val="21"/>
          <w:szCs w:val="21"/>
        </w:rPr>
        <w:t>月表示</w:t>
      </w:r>
      <w:r>
        <w:rPr>
          <w:rFonts w:hint="eastAsia"/>
          <w:sz w:val="21"/>
          <w:szCs w:val="21"/>
          <w:lang w:val="en-US" w:eastAsia="zh-CN"/>
        </w:rPr>
        <w:t>1</w:t>
      </w:r>
      <w:r>
        <w:rPr>
          <w:rFonts w:hint="eastAsia"/>
          <w:sz w:val="21"/>
          <w:szCs w:val="21"/>
        </w:rPr>
        <w:t>到</w:t>
      </w:r>
      <w:r>
        <w:rPr>
          <w:rFonts w:hint="eastAsia"/>
          <w:sz w:val="21"/>
          <w:szCs w:val="21"/>
          <w:lang w:val="en-US" w:eastAsia="zh-CN"/>
        </w:rPr>
        <w:t>5</w:t>
      </w:r>
      <w:r>
        <w:rPr>
          <w:rFonts w:hint="eastAsia"/>
          <w:sz w:val="21"/>
          <w:szCs w:val="21"/>
        </w:rPr>
        <w:t>个月时间。</w:t>
      </w:r>
    </w:p>
    <w:p w14:paraId="121133D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right="0"/>
        <w:textAlignment w:val="auto"/>
        <w:rPr>
          <w:rFonts w:hint="eastAsia"/>
          <w:sz w:val="21"/>
          <w:szCs w:val="21"/>
        </w:rPr>
      </w:pPr>
    </w:p>
    <w:p w14:paraId="06F435B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before="120" w:beforeLines="50" w:after="120" w:afterLines="50" w:line="264" w:lineRule="auto"/>
        <w:ind w:left="0" w:right="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3讨  论</w:t>
      </w:r>
    </w:p>
    <w:p w14:paraId="2892116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before="120" w:beforeLines="50" w:after="120" w:afterLines="50" w:line="264" w:lineRule="auto"/>
        <w:ind w:left="0" w:right="0"/>
        <w:textAlignment w:val="auto"/>
        <w:rPr>
          <w:rFonts w:hint="eastAsia" w:ascii="宋体" w:hAnsi="宋体"/>
          <w:sz w:val="24"/>
        </w:rPr>
      </w:pPr>
    </w:p>
    <w:p w14:paraId="16A1C39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before="120" w:beforeLines="50" w:after="120" w:afterLines="50" w:line="264" w:lineRule="auto"/>
        <w:ind w:left="0" w:right="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4结  论（序号根据文章结构确定） </w:t>
      </w:r>
    </w:p>
    <w:p w14:paraId="6DF1AE7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before="120" w:beforeLines="50" w:after="120" w:afterLines="50" w:line="264" w:lineRule="auto"/>
        <w:ind w:left="0" w:right="0"/>
        <w:textAlignment w:val="auto"/>
        <w:rPr>
          <w:rFonts w:hint="eastAsia" w:ascii="宋体" w:hAnsi="宋体"/>
          <w:sz w:val="24"/>
        </w:rPr>
      </w:pPr>
    </w:p>
    <w:p w14:paraId="1C3E8CB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before="120" w:beforeLines="50" w:after="120" w:afterLines="50" w:line="264" w:lineRule="auto"/>
        <w:ind w:left="0" w:right="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  参考文献</w:t>
      </w:r>
    </w:p>
    <w:p w14:paraId="53239347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left="0" w:right="0" w:firstLine="360" w:firstLineChars="200"/>
        <w:textAlignment w:val="auto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本刊采用</w:t>
      </w:r>
      <w:r>
        <w:rPr>
          <w:rFonts w:hint="eastAsia" w:ascii="宋体" w:hAnsi="宋体"/>
          <w:color w:val="FF0000"/>
          <w:sz w:val="18"/>
          <w:szCs w:val="18"/>
        </w:rPr>
        <w:t>顺序编码</w:t>
      </w:r>
      <w:r>
        <w:rPr>
          <w:rFonts w:hint="eastAsia" w:ascii="宋体" w:hAnsi="宋体"/>
          <w:sz w:val="18"/>
          <w:szCs w:val="18"/>
        </w:rPr>
        <w:t>制格式著录。</w:t>
      </w:r>
      <w:r>
        <w:rPr>
          <w:rFonts w:ascii="宋体" w:hAnsi="宋体"/>
          <w:sz w:val="18"/>
          <w:szCs w:val="18"/>
        </w:rPr>
        <w:t>所有中文文献都要</w:t>
      </w:r>
      <w:r>
        <w:rPr>
          <w:rFonts w:ascii="宋体" w:hAnsi="宋体"/>
          <w:color w:val="FF0000"/>
          <w:sz w:val="18"/>
          <w:szCs w:val="18"/>
          <w:highlight w:val="none"/>
        </w:rPr>
        <w:t>有对应的英文翻译</w:t>
      </w:r>
      <w:r>
        <w:rPr>
          <w:rFonts w:ascii="宋体" w:hAnsi="宋体"/>
          <w:sz w:val="18"/>
          <w:szCs w:val="18"/>
        </w:rPr>
        <w:t>；</w:t>
      </w:r>
      <w:r>
        <w:rPr>
          <w:rFonts w:hint="eastAsia" w:ascii="宋体" w:hAnsi="宋体"/>
          <w:sz w:val="18"/>
          <w:szCs w:val="18"/>
        </w:rPr>
        <w:t>主要责任者在3名以内的，全部列出；超过3名时，后面加“等.”字样，</w:t>
      </w:r>
      <w:r>
        <w:rPr>
          <w:rFonts w:ascii="宋体" w:hAnsi="宋体"/>
          <w:sz w:val="18"/>
          <w:szCs w:val="18"/>
        </w:rPr>
        <w:t>英文用</w:t>
      </w:r>
      <w:r>
        <w:rPr>
          <w:rFonts w:hint="eastAsia" w:ascii="宋体" w:hAnsi="宋体"/>
          <w:sz w:val="18"/>
          <w:szCs w:val="18"/>
          <w:lang w:eastAsia="zh-CN"/>
        </w:rPr>
        <w:t>“</w:t>
      </w:r>
      <w:r>
        <w:rPr>
          <w:rFonts w:ascii="宋体" w:hAnsi="宋体"/>
          <w:sz w:val="18"/>
          <w:szCs w:val="18"/>
        </w:rPr>
        <w:t>, et al.</w:t>
      </w:r>
      <w:r>
        <w:rPr>
          <w:rFonts w:hint="eastAsia" w:ascii="宋体" w:hAnsi="宋体"/>
          <w:sz w:val="18"/>
          <w:szCs w:val="18"/>
        </w:rPr>
        <w:t>”。姓名之间用逗号“，”分隔。</w:t>
      </w:r>
      <w:r>
        <w:rPr>
          <w:rFonts w:ascii="宋体" w:hAnsi="宋体"/>
          <w:sz w:val="18"/>
          <w:szCs w:val="18"/>
        </w:rPr>
        <w:t>英文文献和对译的文献姓名格式为：姓首字母大写，名保留首字母并大写。</w:t>
      </w:r>
    </w:p>
    <w:p w14:paraId="7AB58E0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left="0" w:right="0"/>
        <w:jc w:val="center"/>
        <w:textAlignment w:val="auto"/>
        <w:rPr>
          <w:rFonts w:hint="eastAsia"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参考文献类型及标识</w:t>
      </w:r>
    </w:p>
    <w:tbl>
      <w:tblPr>
        <w:tblStyle w:val="8"/>
        <w:tblW w:w="4536" w:type="dxa"/>
        <w:jc w:val="center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428"/>
        <w:gridCol w:w="490"/>
        <w:gridCol w:w="552"/>
        <w:gridCol w:w="552"/>
        <w:gridCol w:w="552"/>
        <w:gridCol w:w="428"/>
        <w:gridCol w:w="428"/>
        <w:gridCol w:w="429"/>
      </w:tblGrid>
      <w:tr w14:paraId="0DFB83D2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0" w:type="auto"/>
            <w:tcBorders>
              <w:bottom w:val="single" w:color="008000" w:sz="6" w:space="0"/>
            </w:tcBorders>
            <w:noWrap w:val="0"/>
            <w:vAlign w:val="center"/>
          </w:tcPr>
          <w:p w14:paraId="4FA82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参考文献类型</w:t>
            </w:r>
          </w:p>
        </w:tc>
        <w:tc>
          <w:tcPr>
            <w:tcW w:w="0" w:type="auto"/>
            <w:tcBorders>
              <w:bottom w:val="single" w:color="008000" w:sz="6" w:space="0"/>
            </w:tcBorders>
            <w:noWrap w:val="0"/>
            <w:vAlign w:val="center"/>
          </w:tcPr>
          <w:p w14:paraId="30CC3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专著</w:t>
            </w:r>
          </w:p>
        </w:tc>
        <w:tc>
          <w:tcPr>
            <w:tcW w:w="0" w:type="auto"/>
            <w:tcBorders>
              <w:bottom w:val="single" w:color="008000" w:sz="6" w:space="0"/>
            </w:tcBorders>
            <w:noWrap w:val="0"/>
            <w:vAlign w:val="center"/>
          </w:tcPr>
          <w:p w14:paraId="11CF2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论文集</w:t>
            </w:r>
          </w:p>
        </w:tc>
        <w:tc>
          <w:tcPr>
            <w:tcW w:w="0" w:type="auto"/>
            <w:tcBorders>
              <w:bottom w:val="single" w:color="008000" w:sz="6" w:space="0"/>
            </w:tcBorders>
            <w:noWrap w:val="0"/>
            <w:vAlign w:val="center"/>
          </w:tcPr>
          <w:p w14:paraId="5BE6FE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报纸文章</w:t>
            </w:r>
          </w:p>
        </w:tc>
        <w:tc>
          <w:tcPr>
            <w:tcW w:w="0" w:type="auto"/>
            <w:tcBorders>
              <w:bottom w:val="single" w:color="008000" w:sz="6" w:space="0"/>
            </w:tcBorders>
            <w:noWrap w:val="0"/>
            <w:vAlign w:val="center"/>
          </w:tcPr>
          <w:p w14:paraId="15B548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期刊文章</w:t>
            </w:r>
          </w:p>
        </w:tc>
        <w:tc>
          <w:tcPr>
            <w:tcW w:w="0" w:type="auto"/>
            <w:tcBorders>
              <w:bottom w:val="single" w:color="008000" w:sz="6" w:space="0"/>
            </w:tcBorders>
            <w:noWrap w:val="0"/>
            <w:vAlign w:val="center"/>
          </w:tcPr>
          <w:p w14:paraId="7A9AF1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学位论文</w:t>
            </w:r>
          </w:p>
        </w:tc>
        <w:tc>
          <w:tcPr>
            <w:tcW w:w="0" w:type="auto"/>
            <w:tcBorders>
              <w:bottom w:val="single" w:color="008000" w:sz="6" w:space="0"/>
            </w:tcBorders>
            <w:noWrap w:val="0"/>
            <w:vAlign w:val="center"/>
          </w:tcPr>
          <w:p w14:paraId="581D4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报告</w:t>
            </w:r>
          </w:p>
        </w:tc>
        <w:tc>
          <w:tcPr>
            <w:tcW w:w="0" w:type="auto"/>
            <w:tcBorders>
              <w:bottom w:val="single" w:color="008000" w:sz="6" w:space="0"/>
            </w:tcBorders>
            <w:noWrap w:val="0"/>
            <w:vAlign w:val="center"/>
          </w:tcPr>
          <w:p w14:paraId="49A03B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标准</w:t>
            </w:r>
          </w:p>
        </w:tc>
        <w:tc>
          <w:tcPr>
            <w:tcW w:w="0" w:type="auto"/>
            <w:tcBorders>
              <w:bottom w:val="single" w:color="008000" w:sz="6" w:space="0"/>
            </w:tcBorders>
            <w:noWrap w:val="0"/>
            <w:vAlign w:val="center"/>
          </w:tcPr>
          <w:p w14:paraId="5DBE5E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专利</w:t>
            </w:r>
          </w:p>
        </w:tc>
      </w:tr>
      <w:tr w14:paraId="7B736995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center"/>
          </w:tcPr>
          <w:p w14:paraId="65E4CC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文献类型标识</w:t>
            </w:r>
          </w:p>
        </w:tc>
        <w:tc>
          <w:tcPr>
            <w:tcW w:w="0" w:type="auto"/>
            <w:noWrap w:val="0"/>
            <w:vAlign w:val="center"/>
          </w:tcPr>
          <w:p w14:paraId="09133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M</w:t>
            </w:r>
          </w:p>
        </w:tc>
        <w:tc>
          <w:tcPr>
            <w:tcW w:w="0" w:type="auto"/>
            <w:noWrap w:val="0"/>
            <w:vAlign w:val="center"/>
          </w:tcPr>
          <w:p w14:paraId="47980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C</w:t>
            </w:r>
          </w:p>
        </w:tc>
        <w:tc>
          <w:tcPr>
            <w:tcW w:w="0" w:type="auto"/>
            <w:noWrap w:val="0"/>
            <w:vAlign w:val="center"/>
          </w:tcPr>
          <w:p w14:paraId="086F9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N</w:t>
            </w:r>
          </w:p>
        </w:tc>
        <w:tc>
          <w:tcPr>
            <w:tcW w:w="0" w:type="auto"/>
            <w:noWrap w:val="0"/>
            <w:vAlign w:val="center"/>
          </w:tcPr>
          <w:p w14:paraId="5C1BC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J</w:t>
            </w:r>
          </w:p>
        </w:tc>
        <w:tc>
          <w:tcPr>
            <w:tcW w:w="0" w:type="auto"/>
            <w:noWrap w:val="0"/>
            <w:vAlign w:val="center"/>
          </w:tcPr>
          <w:p w14:paraId="165E1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D</w:t>
            </w:r>
          </w:p>
        </w:tc>
        <w:tc>
          <w:tcPr>
            <w:tcW w:w="0" w:type="auto"/>
            <w:noWrap w:val="0"/>
            <w:vAlign w:val="center"/>
          </w:tcPr>
          <w:p w14:paraId="1BA9D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R</w:t>
            </w:r>
          </w:p>
        </w:tc>
        <w:tc>
          <w:tcPr>
            <w:tcW w:w="0" w:type="auto"/>
            <w:noWrap w:val="0"/>
            <w:vAlign w:val="center"/>
          </w:tcPr>
          <w:p w14:paraId="479AF2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S</w:t>
            </w:r>
          </w:p>
        </w:tc>
        <w:tc>
          <w:tcPr>
            <w:tcW w:w="0" w:type="auto"/>
            <w:noWrap w:val="0"/>
            <w:vAlign w:val="center"/>
          </w:tcPr>
          <w:p w14:paraId="5054DD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P</w:t>
            </w:r>
          </w:p>
        </w:tc>
      </w:tr>
    </w:tbl>
    <w:p w14:paraId="6CF00CC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left="0" w:right="0"/>
        <w:textAlignment w:val="auto"/>
        <w:rPr>
          <w:rFonts w:hint="eastAsia"/>
          <w:color w:val="auto"/>
          <w:sz w:val="18"/>
          <w:szCs w:val="18"/>
        </w:rPr>
      </w:pPr>
      <w:r>
        <w:rPr>
          <w:rFonts w:hint="eastAsia"/>
          <w:color w:val="auto"/>
          <w:sz w:val="18"/>
          <w:szCs w:val="18"/>
        </w:rPr>
        <w:t>其他未说明的文献，建议采用单字母“Z”。</w:t>
      </w:r>
    </w:p>
    <w:p w14:paraId="2C1038B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left="0" w:right="0"/>
        <w:textAlignment w:val="auto"/>
        <w:rPr>
          <w:rFonts w:hint="eastAsia"/>
          <w:sz w:val="18"/>
          <w:szCs w:val="18"/>
        </w:rPr>
      </w:pPr>
    </w:p>
    <w:p w14:paraId="66F8DBC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left="0" w:right="0"/>
        <w:textAlignment w:val="auto"/>
        <w:rPr>
          <w:rFonts w:hint="eastAsia"/>
          <w:sz w:val="18"/>
          <w:szCs w:val="18"/>
        </w:rPr>
      </w:pPr>
    </w:p>
    <w:p w14:paraId="5A6C1EF4">
      <w:pPr>
        <w:pStyle w:val="14"/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ind w:left="0" w:right="0"/>
        <w:textAlignment w:val="auto"/>
      </w:pPr>
      <w:r>
        <w:t>期刊</w:t>
      </w:r>
    </w:p>
    <w:p w14:paraId="028583DF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作者. 标题[J]. 刊名, 年, 卷(期): 页码. 例如：</w:t>
      </w:r>
    </w:p>
    <w:p w14:paraId="0D09E3CF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[1] Aas G H, Bjerkeng B, Hatlen B, et al. Idoxanthin, a major carotenoid in the flesh of Arctic charr (</w:t>
      </w:r>
      <w:r>
        <w:rPr>
          <w:rFonts w:hint="default" w:ascii="Times New Roman" w:hAnsi="Times New Roman" w:cs="Times New Roman"/>
          <w:i/>
          <w:sz w:val="18"/>
          <w:szCs w:val="18"/>
        </w:rPr>
        <w:t>Salvelinus alpinus</w:t>
      </w:r>
      <w:r>
        <w:rPr>
          <w:rFonts w:hint="default" w:ascii="Times New Roman" w:hAnsi="Times New Roman" w:cs="Times New Roman"/>
          <w:sz w:val="18"/>
          <w:szCs w:val="18"/>
        </w:rPr>
        <w:t xml:space="preserve">) fed diets containing astaxanthin[J]. Aquaculture, 1997, 150(1/2): 135-142. </w:t>
      </w:r>
    </w:p>
    <w:p w14:paraId="24C9EBD5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[2] Fishelson L, Delarea Y, Gon O. Testis structure, spermatogenesis, spermatocytogenesis, and sperm structure in cardinal fish (Apogonidae, Perciformes)[J]. Anatomy and Embryology, 2006, 211(1): 31-46. </w:t>
      </w:r>
    </w:p>
    <w:p w14:paraId="69744ED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pacing w:line="310" w:lineRule="exact"/>
        <w:ind w:left="0" w:right="0" w:hanging="18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[3] Storebakken T, No H K. Pigmentation of rainbow trout[J]. Aquaculture, 1992, 100(1/3): 209-229. </w:t>
      </w:r>
    </w:p>
    <w:p w14:paraId="70AC2DA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pacing w:line="310" w:lineRule="exact"/>
        <w:ind w:left="0" w:right="0" w:hanging="18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[4] 雷相东.森林生态系统服务多功能性：概念、指标和经营模拟模型[J].北京林业大学学报，2024，46(5)：1−11.</w:t>
      </w:r>
    </w:p>
    <w:p w14:paraId="388F181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pacing w:line="310" w:lineRule="exact"/>
        <w:ind w:left="0" w:right="0" w:hanging="18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Lei X</w:t>
      </w:r>
      <w:r>
        <w:rPr>
          <w:rFonts w:hint="eastAsia" w:cs="Times New Roman"/>
          <w:sz w:val="18"/>
          <w:szCs w:val="18"/>
          <w:lang w:val="en-US" w:eastAsia="zh-CN"/>
        </w:rPr>
        <w:t xml:space="preserve"> D</w:t>
      </w:r>
      <w:r>
        <w:rPr>
          <w:rFonts w:hint="default" w:ascii="Times New Roman" w:hAnsi="Times New Roman" w:cs="Times New Roman"/>
          <w:sz w:val="18"/>
          <w:szCs w:val="18"/>
        </w:rPr>
        <w:t xml:space="preserve">. Forest ecosystem service multi-functionality: definitions, indicators and simulation models for forestmanagement[J]. Journal of Beijing Forestry University, 2024, 46(5): 1−11. </w:t>
      </w:r>
    </w:p>
    <w:p w14:paraId="5DB3F96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pacing w:line="310" w:lineRule="exact"/>
        <w:ind w:left="0" w:right="0" w:hanging="18"/>
        <w:textAlignment w:val="auto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</w:p>
    <w:p w14:paraId="0201CA6B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</w:pPr>
      <w:r>
        <w:t xml:space="preserve"> </w:t>
      </w:r>
    </w:p>
    <w:p w14:paraId="33B73BAA">
      <w:pPr>
        <w:pStyle w:val="14"/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图书</w:t>
      </w:r>
    </w:p>
    <w:p w14:paraId="23B5E9F7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作者. 书名[M]. 译者. 版次. </w:t>
      </w:r>
      <w:r>
        <w:rPr>
          <w:rFonts w:hint="eastAsia" w:ascii="Times New Roman" w:hAnsi="Times New Roman" w:cs="Times New Roman"/>
          <w:lang w:eastAsia="zh-CN"/>
        </w:rPr>
        <w:t>出版地所在城市</w:t>
      </w:r>
      <w:r>
        <w:rPr>
          <w:rFonts w:hint="default" w:ascii="Times New Roman" w:hAnsi="Times New Roman" w:cs="Times New Roman"/>
        </w:rPr>
        <w:t xml:space="preserve">: 出版社, 年: 页码. </w:t>
      </w:r>
    </w:p>
    <w:p w14:paraId="447F9D8F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[1]周光宏. 畜产品加工学[M]. 北京: 中国农业出版社, 2002: 206-211.</w:t>
      </w:r>
    </w:p>
    <w:p w14:paraId="6EE7603A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[2]陈新军, 刘必林, 王尧耕. 世界头足类[M]. 北京: 海洋出版社, 2009: 312-313.</w:t>
      </w:r>
    </w:p>
    <w:p w14:paraId="7A4B1879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[3]Yue T X. Surface modeling: high accuracy and high speed methods[M]. New York: CRC Press, 2011:100-106.</w:t>
      </w:r>
    </w:p>
    <w:p w14:paraId="0E9F1202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 w14:paraId="455F3CD0">
      <w:pPr>
        <w:pStyle w:val="14"/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学位论文</w:t>
      </w:r>
    </w:p>
    <w:p w14:paraId="0C4ADA4E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作者. 标题[D]. </w:t>
      </w:r>
      <w:r>
        <w:rPr>
          <w:rFonts w:hint="eastAsia" w:ascii="Times New Roman" w:hAnsi="Times New Roman" w:cs="Times New Roman"/>
          <w:lang w:eastAsia="zh-CN"/>
        </w:rPr>
        <w:t>学校所在城市</w:t>
      </w:r>
      <w:r>
        <w:rPr>
          <w:rFonts w:hint="default" w:ascii="Times New Roman" w:hAnsi="Times New Roman" w:cs="Times New Roman"/>
        </w:rPr>
        <w:t xml:space="preserve">: 学校, 年. </w:t>
      </w:r>
    </w:p>
    <w:p w14:paraId="3103645D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[1] 李宁. 虾夷扇贝橘红色闭壳肌产生的原因及其在育种中的应用[D]. 青岛: 中国海洋大学, 2009.</w:t>
      </w:r>
    </w:p>
    <w:p w14:paraId="2A53339E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</w:pPr>
      <w:r>
        <w:t xml:space="preserve"> </w:t>
      </w:r>
    </w:p>
    <w:p w14:paraId="3A0BFEEB">
      <w:pPr>
        <w:pStyle w:val="14"/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析出文献</w:t>
      </w:r>
    </w:p>
    <w:p w14:paraId="1ECA35E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88" w:lineRule="auto"/>
        <w:ind w:left="0" w:right="0"/>
        <w:textAlignment w:val="auto"/>
        <w:rPr>
          <w:rFonts w:hint="eastAsia"/>
          <w:sz w:val="18"/>
          <w:szCs w:val="18"/>
        </w:rPr>
      </w:pPr>
      <w:r>
        <w:rPr>
          <w:rFonts w:hint="eastAsia"/>
          <w:color w:val="FF0000"/>
          <w:sz w:val="18"/>
          <w:szCs w:val="18"/>
          <w:lang w:val="en-US" w:eastAsia="zh-CN"/>
        </w:rPr>
        <w:t xml:space="preserve"> </w:t>
      </w:r>
      <w:r>
        <w:rPr>
          <w:rFonts w:hint="eastAsia"/>
          <w:sz w:val="18"/>
          <w:szCs w:val="18"/>
        </w:rPr>
        <w:t>[序号]析出文献主要责任者</w:t>
      </w:r>
      <w:r>
        <w:rPr>
          <w:sz w:val="18"/>
          <w:szCs w:val="18"/>
        </w:rPr>
        <w:t>．</w:t>
      </w:r>
      <w:r>
        <w:rPr>
          <w:rFonts w:hint="eastAsia"/>
          <w:sz w:val="18"/>
          <w:szCs w:val="18"/>
        </w:rPr>
        <w:t>析出文献题名[文献类型标志]// 专著主要责任者. 专著题名</w:t>
      </w:r>
      <w:r>
        <w:rPr>
          <w:sz w:val="18"/>
          <w:szCs w:val="18"/>
        </w:rPr>
        <w:t>．</w:t>
      </w:r>
      <w:r>
        <w:rPr>
          <w:rFonts w:hint="eastAsia"/>
          <w:sz w:val="18"/>
          <w:szCs w:val="18"/>
          <w:lang w:eastAsia="zh-CN"/>
        </w:rPr>
        <w:t>出版地所在城市</w:t>
      </w:r>
      <w:r>
        <w:rPr>
          <w:rFonts w:hint="eastAsia"/>
          <w:sz w:val="18"/>
          <w:szCs w:val="18"/>
        </w:rPr>
        <w:t>：出版者，出版年：析出文献起止页码</w:t>
      </w:r>
      <w:r>
        <w:rPr>
          <w:sz w:val="18"/>
          <w:szCs w:val="18"/>
        </w:rPr>
        <w:t>．</w:t>
      </w:r>
    </w:p>
    <w:p w14:paraId="1E5EE9F1">
      <w:pPr>
        <w:pStyle w:val="1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ind w:left="0" w:leftChars="0" w:right="0"/>
        <w:textAlignment w:val="auto"/>
        <w:rPr>
          <w:rFonts w:hint="default" w:ascii="Times New Roman" w:hAnsi="Times New Roman" w:cs="Times New Roman"/>
        </w:rPr>
      </w:pPr>
    </w:p>
    <w:p w14:paraId="7B10809C">
      <w:pPr>
        <w:pStyle w:val="14"/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会议析出</w:t>
      </w:r>
    </w:p>
    <w:p w14:paraId="02CE9CC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0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[1]  Schultz H, Riseman E M, Stolle F R, et al. Error detection and DEM fusion using self-consistency[C]//The proceedings of the seventh IEEE international conference on computer vision. Kerkyra: IEEE, 1999, 2: 1174-1181. </w:t>
      </w:r>
    </w:p>
    <w:p w14:paraId="6B49CAFF">
      <w:pPr>
        <w:pStyle w:val="14"/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图书析出</w:t>
      </w:r>
    </w:p>
    <w:p w14:paraId="71C8590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0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[1]  Papasaika H, Kokiopoulou E, Baltsavias E, et al. Fusion of digital elevation models using sparse representations[M]//Stilla U, Rottensteiner F, Mayer H, et al. Photogrammetric image analysis. Berlin Heidelberg: Springer, 2011: 171-184. </w:t>
      </w:r>
    </w:p>
    <w:p w14:paraId="15F1BDC9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</w:pPr>
      <w:r>
        <w:t xml:space="preserve"> </w:t>
      </w:r>
    </w:p>
    <w:p w14:paraId="636816DA">
      <w:pPr>
        <w:pStyle w:val="14"/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ind w:left="0" w:right="0"/>
        <w:textAlignment w:val="auto"/>
      </w:pPr>
      <w:r>
        <w:t>报告</w:t>
      </w:r>
    </w:p>
    <w:p w14:paraId="055B161E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作者. 标题[R]. </w:t>
      </w:r>
      <w:r>
        <w:rPr>
          <w:rFonts w:hint="eastAsia" w:ascii="Times New Roman" w:hAnsi="Times New Roman" w:cs="Times New Roman"/>
          <w:lang w:eastAsia="zh-CN"/>
        </w:rPr>
        <w:t>出版地所在城市</w:t>
      </w:r>
      <w:r>
        <w:rPr>
          <w:rFonts w:hint="default" w:ascii="Times New Roman" w:hAnsi="Times New Roman" w:cs="Times New Roman"/>
        </w:rPr>
        <w:t xml:space="preserve">: 出版社, 年. </w:t>
      </w:r>
    </w:p>
    <w:p w14:paraId="3ED49446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[5] World Health Organization. Factors regulating the immune response: report of WHO Scientific Group[R]. Geneva: WHO, 1970.</w:t>
      </w:r>
    </w:p>
    <w:p w14:paraId="162E2017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 w14:paraId="5786332D">
      <w:pPr>
        <w:pStyle w:val="14"/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标准</w:t>
      </w:r>
    </w:p>
    <w:p w14:paraId="0BF7094A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作者. 标准题名: 标准编号[S]. </w:t>
      </w:r>
      <w:r>
        <w:rPr>
          <w:rFonts w:hint="eastAsia" w:ascii="Times New Roman" w:hAnsi="Times New Roman" w:cs="Times New Roman"/>
          <w:lang w:eastAsia="zh-CN"/>
        </w:rPr>
        <w:t>出版地所在城市</w:t>
      </w:r>
      <w:r>
        <w:rPr>
          <w:rFonts w:hint="default" w:ascii="Times New Roman" w:hAnsi="Times New Roman" w:cs="Times New Roman"/>
        </w:rPr>
        <w:t xml:space="preserve">: 出版社, 年. </w:t>
      </w:r>
    </w:p>
    <w:p w14:paraId="697AFCC9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[1]国家标准化管理委员会. 肉与肉制品 脂肪酸测定: GB/T 9695.2-2008[S]. 北京: 中国标准出版社, 2008.</w:t>
      </w:r>
    </w:p>
    <w:p w14:paraId="65E4E409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 w14:paraId="3FE9C052">
      <w:pPr>
        <w:pStyle w:val="14"/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专利</w:t>
      </w:r>
    </w:p>
    <w:p w14:paraId="7BAA80A6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作者. 标题: 专利号[P]. 出版日期. </w:t>
      </w:r>
    </w:p>
    <w:p w14:paraId="1EE15067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[1] 张凯军. 轨道火车及高速轨道火车紧急安全制动辅助装置: 201220158825.2[P]. 2012-04-05.</w:t>
      </w:r>
    </w:p>
    <w:p w14:paraId="2EC25246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 w14:paraId="029C44D0">
      <w:pPr>
        <w:pStyle w:val="14"/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电子文献</w:t>
      </w:r>
    </w:p>
    <w:p w14:paraId="4246EE16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作者. 标题[EB/OL]. (出版或更新日期)[引用日期]. 链接.</w:t>
      </w:r>
    </w:p>
    <w:p w14:paraId="3CA88C44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作者. 标题[J/OL]. 刊名, 年，卷(期)：页码[下载日期].网址.</w:t>
      </w:r>
    </w:p>
    <w:p w14:paraId="3B8B04D9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作者. 标题[M/OL]. 所在城市名：刊名, 年：页码(出版或更新日期)[下载日期].网址.</w:t>
      </w:r>
    </w:p>
    <w:p w14:paraId="6E23B488">
      <w:pPr>
        <w:pStyle w:val="14"/>
        <w:keepNext w:val="0"/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萧钰. 出版业信息化迈入快车道[EB/OL]. (2001-12-19)[2002-04-15]. http://www.creader.com/news/20011219/200112190019.html.</w:t>
      </w:r>
    </w:p>
    <w:p w14:paraId="48D1E920">
      <w:pPr>
        <w:pStyle w:val="14"/>
        <w:keepNext w:val="0"/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Başkent E Z, Kašpar J. Exploring the effects of various rotationlengths on the ecosystem services within a multiple-usemanagement framework[</w:t>
      </w:r>
      <w:r>
        <w:rPr>
          <w:rFonts w:hint="default" w:ascii="Times New Roman" w:hAnsi="Times New Roman" w:cs="Times New Roman"/>
          <w:color w:val="FF0000"/>
          <w:sz w:val="18"/>
          <w:szCs w:val="18"/>
        </w:rPr>
        <w:t>J/OL</w:t>
      </w:r>
      <w:r>
        <w:rPr>
          <w:rFonts w:hint="default" w:ascii="Times New Roman" w:hAnsi="Times New Roman" w:cs="Times New Roman"/>
          <w:sz w:val="18"/>
          <w:szCs w:val="18"/>
        </w:rPr>
        <w:t>]. Forest Ecology and Management,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2023, 538: 120974.</w:t>
      </w:r>
      <w:r>
        <w:rPr>
          <w:rFonts w:hint="default" w:ascii="Times New Roman" w:hAnsi="Times New Roman" w:cs="Times New Roman"/>
          <w:color w:val="FF0000"/>
          <w:sz w:val="18"/>
          <w:szCs w:val="18"/>
        </w:rPr>
        <w:t>[下载日期].下载网址</w:t>
      </w:r>
    </w:p>
    <w:p w14:paraId="651F2258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leftChars="0" w:right="0" w:firstLine="0" w:firstLineChars="0"/>
        <w:textAlignment w:val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162AB6FA">
      <w:pPr>
        <w:pStyle w:val="14"/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报纸文章</w:t>
      </w:r>
    </w:p>
    <w:p w14:paraId="5079260F">
      <w:pPr>
        <w:pStyle w:val="1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ind w:left="0" w:leftChars="0" w:right="0"/>
        <w:textAlignment w:val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[序号]主要责任者.文献题名[N]．报纸名，出版日期（版次）．</w:t>
      </w:r>
    </w:p>
    <w:p w14:paraId="14DEC4BD">
      <w:pPr>
        <w:pStyle w:val="1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ind w:left="0" w:leftChars="0" w:right="0"/>
        <w:textAlignment w:val="auto"/>
        <w:rPr>
          <w:rFonts w:hint="default" w:ascii="Times New Roman" w:hAnsi="Times New Roman" w:eastAsia="宋体" w:cs="Times New Roman"/>
        </w:rPr>
      </w:pPr>
    </w:p>
    <w:p w14:paraId="5927DACA">
      <w:pPr>
        <w:pStyle w:val="14"/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各种未定义类型文献</w:t>
      </w:r>
    </w:p>
    <w:p w14:paraId="1594E2F1">
      <w:pPr>
        <w:pStyle w:val="1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ind w:left="0" w:leftChars="0" w:right="0"/>
        <w:textAlignment w:val="auto"/>
        <w:rPr>
          <w:rFonts w:hint="eastAsia"/>
          <w:b/>
          <w:color w:val="FF6600"/>
          <w:sz w:val="28"/>
          <w:szCs w:val="28"/>
        </w:rPr>
      </w:pPr>
      <w:r>
        <w:rPr>
          <w:rFonts w:hint="default" w:ascii="Times New Roman" w:hAnsi="Times New Roman" w:eastAsia="宋体" w:cs="Times New Roman"/>
        </w:rPr>
        <w:t xml:space="preserve">[序号]主要责任者. 文献题名[Z]. </w:t>
      </w:r>
      <w:r>
        <w:rPr>
          <w:rFonts w:hint="eastAsia" w:ascii="Times New Roman" w:hAnsi="Times New Roman" w:cs="Times New Roman"/>
          <w:lang w:eastAsia="zh-CN"/>
        </w:rPr>
        <w:t>出版地所在城市</w:t>
      </w:r>
      <w:r>
        <w:rPr>
          <w:rFonts w:hint="default" w:ascii="Times New Roman" w:hAnsi="Times New Roman" w:eastAsia="宋体" w:cs="Times New Roman"/>
        </w:rPr>
        <w:t>：出版者，出版年.</w:t>
      </w:r>
    </w:p>
    <w:p w14:paraId="73A241B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right="0"/>
        <w:textAlignment w:val="auto"/>
        <w:rPr>
          <w:rFonts w:hint="eastAsia"/>
          <w:sz w:val="21"/>
          <w:szCs w:val="21"/>
        </w:rPr>
      </w:pPr>
    </w:p>
    <w:p w14:paraId="0DE6726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before="120" w:beforeLines="50" w:after="120" w:afterLines="50" w:line="264" w:lineRule="auto"/>
        <w:ind w:left="0" w:right="0"/>
        <w:textAlignment w:val="auto"/>
      </w:pPr>
    </w:p>
    <w:p w14:paraId="11821792"/>
    <w:sectPr>
      <w:footerReference r:id="rId4" w:type="firs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CB0A6E">
    <w:pPr>
      <w:pStyle w:val="7"/>
      <w:spacing w:line="288" w:lineRule="auto"/>
      <w:ind w:firstLine="300" w:firstLineChars="200"/>
      <w:rPr>
        <w:rFonts w:hint="eastAsia"/>
        <w:sz w:val="15"/>
        <w:szCs w:val="15"/>
      </w:rPr>
    </w:pPr>
    <w:r>
      <w:rPr>
        <w:rFonts w:hint="eastAsia" w:ascii="黑体" w:hAnsi="黑体" w:eastAsia="黑体"/>
        <w:sz w:val="15"/>
        <w:szCs w:val="15"/>
      </w:rPr>
      <w:t>收稿日期</w:t>
    </w:r>
    <w:r>
      <w:rPr>
        <w:rFonts w:hint="eastAsia"/>
        <w:sz w:val="15"/>
        <w:szCs w:val="15"/>
      </w:rPr>
      <w:t>：20</w:t>
    </w:r>
    <w:r>
      <w:rPr>
        <w:sz w:val="15"/>
        <w:szCs w:val="15"/>
      </w:rPr>
      <w:t>2</w:t>
    </w:r>
    <w:r>
      <w:rPr>
        <w:rFonts w:hint="eastAsia"/>
        <w:sz w:val="15"/>
        <w:szCs w:val="15"/>
        <w:lang w:val="en-US" w:eastAsia="zh-CN"/>
      </w:rPr>
      <w:t>4</w:t>
    </w:r>
    <w:r>
      <w:rPr>
        <w:rFonts w:hint="eastAsia"/>
        <w:sz w:val="15"/>
        <w:szCs w:val="15"/>
      </w:rPr>
      <w:t xml:space="preserve">-00-00    </w:t>
    </w:r>
    <w:r>
      <w:rPr>
        <w:rFonts w:hint="eastAsia" w:ascii="黑体" w:hAnsi="黑体" w:eastAsia="黑体"/>
        <w:sz w:val="15"/>
        <w:szCs w:val="15"/>
      </w:rPr>
      <w:t>修回日期</w:t>
    </w:r>
    <w:r>
      <w:rPr>
        <w:rFonts w:hint="eastAsia"/>
        <w:sz w:val="15"/>
        <w:szCs w:val="15"/>
      </w:rPr>
      <w:t>：20</w:t>
    </w:r>
    <w:r>
      <w:rPr>
        <w:sz w:val="15"/>
        <w:szCs w:val="15"/>
      </w:rPr>
      <w:t>2</w:t>
    </w:r>
    <w:r>
      <w:rPr>
        <w:rFonts w:hint="eastAsia"/>
        <w:sz w:val="15"/>
        <w:szCs w:val="15"/>
        <w:lang w:val="en-US" w:eastAsia="zh-CN"/>
      </w:rPr>
      <w:t>4</w:t>
    </w:r>
    <w:r>
      <w:rPr>
        <w:rFonts w:hint="eastAsia"/>
        <w:sz w:val="15"/>
        <w:szCs w:val="15"/>
      </w:rPr>
      <w:t>-00-00</w:t>
    </w:r>
  </w:p>
  <w:p w14:paraId="231314FE">
    <w:pPr>
      <w:pStyle w:val="7"/>
      <w:spacing w:line="288" w:lineRule="auto"/>
      <w:ind w:firstLine="300" w:firstLineChars="200"/>
      <w:rPr>
        <w:rFonts w:hint="eastAsia"/>
        <w:sz w:val="15"/>
        <w:szCs w:val="15"/>
      </w:rPr>
    </w:pPr>
    <w:r>
      <w:rPr>
        <w:rFonts w:hint="eastAsia" w:ascii="黑体" w:hAnsi="黑体" w:eastAsia="黑体"/>
        <w:sz w:val="15"/>
        <w:szCs w:val="15"/>
      </w:rPr>
      <w:t>基金项目</w:t>
    </w:r>
    <w:r>
      <w:rPr>
        <w:rFonts w:hint="eastAsia"/>
        <w:sz w:val="15"/>
        <w:szCs w:val="15"/>
      </w:rPr>
      <w:t>： 国家自然科学基金</w:t>
    </w:r>
    <w:r>
      <w:rPr>
        <w:rFonts w:hint="eastAsia"/>
        <w:sz w:val="15"/>
        <w:szCs w:val="15"/>
        <w:lang w:val="en-US" w:eastAsia="zh-CN"/>
      </w:rPr>
      <w:t>项目</w:t>
    </w:r>
    <w:r>
      <w:rPr>
        <w:rFonts w:hint="eastAsia"/>
        <w:sz w:val="15"/>
        <w:szCs w:val="15"/>
      </w:rPr>
      <w:t>（</w:t>
    </w:r>
    <w:r>
      <w:rPr>
        <w:sz w:val="15"/>
        <w:szCs w:val="15"/>
      </w:rPr>
      <w:t>××××××××</w:t>
    </w:r>
    <w:r>
      <w:rPr>
        <w:rFonts w:hint="eastAsia"/>
        <w:sz w:val="15"/>
        <w:szCs w:val="15"/>
      </w:rPr>
      <w:t>、</w:t>
    </w:r>
    <w:r>
      <w:rPr>
        <w:sz w:val="15"/>
        <w:szCs w:val="15"/>
      </w:rPr>
      <w:t>××××××××</w:t>
    </w:r>
    <w:r>
      <w:rPr>
        <w:rFonts w:hint="eastAsia"/>
        <w:sz w:val="15"/>
        <w:szCs w:val="15"/>
      </w:rPr>
      <w:t>），中国博士后科学基金</w:t>
    </w:r>
    <w:r>
      <w:rPr>
        <w:rFonts w:hint="eastAsia"/>
        <w:sz w:val="15"/>
        <w:szCs w:val="15"/>
        <w:lang w:val="en-US" w:eastAsia="zh-CN"/>
      </w:rPr>
      <w:t>项目</w:t>
    </w:r>
    <w:r>
      <w:rPr>
        <w:rFonts w:hint="eastAsia"/>
        <w:sz w:val="15"/>
        <w:szCs w:val="15"/>
      </w:rPr>
      <w:t>（2021M</w:t>
    </w:r>
    <w:r>
      <w:rPr>
        <w:sz w:val="15"/>
        <w:szCs w:val="15"/>
      </w:rPr>
      <w:t>×××××</w:t>
    </w:r>
    <w:r>
      <w:rPr>
        <w:rFonts w:hint="eastAsia"/>
        <w:sz w:val="15"/>
        <w:szCs w:val="15"/>
      </w:rPr>
      <w:t>）。</w:t>
    </w:r>
  </w:p>
  <w:p w14:paraId="02642C4C">
    <w:pPr>
      <w:pStyle w:val="7"/>
      <w:spacing w:line="288" w:lineRule="auto"/>
      <w:ind w:firstLine="300" w:firstLineChars="200"/>
      <w:rPr>
        <w:rFonts w:hint="eastAsia"/>
        <w:sz w:val="15"/>
        <w:szCs w:val="15"/>
      </w:rPr>
    </w:pPr>
    <w:r>
      <w:rPr>
        <w:rFonts w:hint="eastAsia" w:ascii="黑体" w:hAnsi="黑体" w:eastAsia="黑体"/>
        <w:sz w:val="15"/>
        <w:szCs w:val="15"/>
        <w:lang w:eastAsia="zh-CN"/>
      </w:rPr>
      <w:t>第一</w:t>
    </w:r>
    <w:r>
      <w:rPr>
        <w:rFonts w:hint="eastAsia" w:ascii="黑体" w:hAnsi="黑体" w:eastAsia="黑体"/>
        <w:sz w:val="15"/>
        <w:szCs w:val="15"/>
      </w:rPr>
      <w:t>作者</w:t>
    </w:r>
    <w:r>
      <w:rPr>
        <w:rFonts w:hint="eastAsia"/>
        <w:sz w:val="15"/>
        <w:szCs w:val="15"/>
      </w:rPr>
      <w:t>：张三，博士生。主要研究方向：森林防火。 Email：zhangsan@163.com　地址：100083 北京市海淀区清华东路 35 号</w:t>
    </w:r>
    <w:r>
      <w:rPr>
        <w:rFonts w:hint="eastAsia"/>
        <w:sz w:val="15"/>
        <w:szCs w:val="15"/>
        <w:lang w:eastAsia="zh-CN"/>
      </w:rPr>
      <w:t>北京林业大学林学院</w:t>
    </w:r>
    <w:r>
      <w:rPr>
        <w:rFonts w:hint="eastAsia"/>
        <w:sz w:val="15"/>
        <w:szCs w:val="15"/>
      </w:rPr>
      <w:t>。</w:t>
    </w:r>
  </w:p>
  <w:p w14:paraId="12A9C2D6">
    <w:pPr>
      <w:pStyle w:val="7"/>
      <w:spacing w:line="288" w:lineRule="auto"/>
      <w:ind w:firstLine="300" w:firstLineChars="200"/>
      <w:rPr>
        <w:sz w:val="15"/>
        <w:szCs w:val="15"/>
      </w:rPr>
    </w:pPr>
    <w:r>
      <w:rPr>
        <w:rFonts w:hint="eastAsia" w:ascii="黑体" w:hAnsi="黑体" w:eastAsia="黑体"/>
        <w:sz w:val="15"/>
        <w:szCs w:val="15"/>
      </w:rPr>
      <w:t>责任作者</w:t>
    </w:r>
    <w:r>
      <w:rPr>
        <w:rFonts w:hint="eastAsia"/>
        <w:sz w:val="15"/>
        <w:szCs w:val="15"/>
      </w:rPr>
      <w:t>：李四，博士，教授。主要研究方</w:t>
    </w:r>
    <w:r>
      <w:rPr>
        <w:rFonts w:hint="eastAsia"/>
        <w:sz w:val="15"/>
        <w:szCs w:val="15"/>
        <w:lang w:eastAsia="zh-CN"/>
      </w:rPr>
      <w:t>向</w:t>
    </w:r>
    <w:r>
      <w:rPr>
        <w:rFonts w:hint="eastAsia"/>
        <w:sz w:val="15"/>
        <w:szCs w:val="15"/>
      </w:rPr>
      <w:t>：森林防火。 Email：lisi@bjfu.edu.c</w:t>
    </w:r>
    <w:r>
      <w:rPr>
        <w:sz w:val="15"/>
        <w:szCs w:val="15"/>
      </w:rPr>
      <w:t>n</w:t>
    </w:r>
    <w:r>
      <w:rPr>
        <w:rFonts w:hint="eastAsia"/>
        <w:sz w:val="15"/>
        <w:szCs w:val="15"/>
      </w:rPr>
      <w:t>　地址：同上。</w:t>
    </w:r>
  </w:p>
  <w:p w14:paraId="4DB582FB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62738F17">
      <w:pPr>
        <w:pStyle w:val="7"/>
        <w:spacing w:line="288" w:lineRule="auto"/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F44C45"/>
    <w:multiLevelType w:val="singleLevel"/>
    <w:tmpl w:val="F7F44C4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08147DC"/>
    <w:multiLevelType w:val="multilevel"/>
    <w:tmpl w:val="108147DC"/>
    <w:lvl w:ilvl="0" w:tentative="0">
      <w:start w:val="1"/>
      <w:numFmt w:val="decimal"/>
      <w:pStyle w:val="13"/>
      <w:lvlText w:val="表 %1"/>
      <w:lvlJc w:val="left"/>
      <w:pPr>
        <w:tabs>
          <w:tab w:val="left" w:pos="840"/>
        </w:tabs>
        <w:ind w:left="840" w:hanging="420"/>
      </w:pPr>
      <w:rPr>
        <w:rFonts w:hint="eastAsia" w:eastAsia="黑体"/>
        <w:b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1A4D02F4"/>
    <w:multiLevelType w:val="singleLevel"/>
    <w:tmpl w:val="1A4D02F4"/>
    <w:lvl w:ilvl="0" w:tentative="0">
      <w:start w:val="1"/>
      <w:numFmt w:val="decimal"/>
      <w:suff w:val="space"/>
      <w:lvlText w:val="（%1."/>
      <w:lvlJc w:val="left"/>
    </w:lvl>
  </w:abstractNum>
  <w:abstractNum w:abstractNumId="3">
    <w:nsid w:val="34D810FB"/>
    <w:multiLevelType w:val="singleLevel"/>
    <w:tmpl w:val="34D810FB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441D0A8F"/>
    <w:multiLevelType w:val="singleLevel"/>
    <w:tmpl w:val="441D0A8F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4D9041AE"/>
    <w:multiLevelType w:val="multilevel"/>
    <w:tmpl w:val="4D9041AE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 w:ascii="Times New Roman" w:hAnsi="Times New Roman" w:cs="Times New Roman"/>
        <w:sz w:val="20"/>
        <w:szCs w:val="20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 w:ascii="Times New Roman" w:hAnsi="Times New Roman" w:cs="Times New Roman"/>
      </w:rPr>
    </w:lvl>
  </w:abstractNum>
  <w:abstractNum w:abstractNumId="6">
    <w:nsid w:val="563C77CE"/>
    <w:multiLevelType w:val="multilevel"/>
    <w:tmpl w:val="563C77CE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 w:ascii="Times New Roman" w:hAnsi="Times New Roman" w:cs="Times New Roman"/>
        <w:sz w:val="20"/>
        <w:szCs w:val="20"/>
      </w:rPr>
    </w:lvl>
    <w:lvl w:ilvl="1" w:tentative="0">
      <w:start w:val="1"/>
      <w:numFmt w:val="lowerLetter"/>
      <w:lvlText w:val="%2)"/>
      <w:lvlJc w:val="left"/>
      <w:pPr>
        <w:ind w:left="126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68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10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252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294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336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378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4200" w:hanging="420"/>
      </w:pPr>
      <w:rPr>
        <w:rFonts w:hint="default" w:ascii="Times New Roman" w:hAnsi="Times New Roman" w:cs="Times New Roman"/>
      </w:rPr>
    </w:lvl>
  </w:abstractNum>
  <w:abstractNum w:abstractNumId="7">
    <w:nsid w:val="666A79EB"/>
    <w:multiLevelType w:val="singleLevel"/>
    <w:tmpl w:val="666A79EB"/>
    <w:lvl w:ilvl="0" w:tentative="0">
      <w:start w:val="1"/>
      <w:numFmt w:val="decimal"/>
      <w:lvlText w:val="[%1]"/>
      <w:lvlJc w:val="left"/>
      <w:pPr>
        <w:tabs>
          <w:tab w:val="left" w:pos="312"/>
        </w:tabs>
      </w:pPr>
    </w:lvl>
  </w:abstractNum>
  <w:abstractNum w:abstractNumId="8">
    <w:nsid w:val="66ED6753"/>
    <w:multiLevelType w:val="singleLevel"/>
    <w:tmpl w:val="66ED675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670FE36F"/>
    <w:multiLevelType w:val="singleLevel"/>
    <w:tmpl w:val="670FE36F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5YjMxMTQyMjY4MWU3YjhmYTY0OGFhMjQzMTVlMDkifQ=="/>
  </w:docVars>
  <w:rsids>
    <w:rsidRoot w:val="7F5E7593"/>
    <w:rsid w:val="0FE9310D"/>
    <w:rsid w:val="291A6D3D"/>
    <w:rsid w:val="335C4122"/>
    <w:rsid w:val="3DDB6A37"/>
    <w:rsid w:val="502360E3"/>
    <w:rsid w:val="6D3801C3"/>
    <w:rsid w:val="6E8700CF"/>
    <w:rsid w:val="70F30464"/>
    <w:rsid w:val="7F5E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endnote text"/>
    <w:basedOn w:val="1"/>
    <w:semiHidden/>
    <w:qFormat/>
    <w:uiPriority w:val="0"/>
    <w:pPr>
      <w:snapToGrid w:val="0"/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styleId="11">
    <w:name w:val="footnote reference"/>
    <w:semiHidden/>
    <w:qFormat/>
    <w:uiPriority w:val="0"/>
    <w:rPr>
      <w:vertAlign w:val="superscript"/>
    </w:rPr>
  </w:style>
  <w:style w:type="paragraph" w:customStyle="1" w:styleId="12">
    <w:name w:val="Normal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13">
    <w:name w:val="TableCHeading"/>
    <w:basedOn w:val="1"/>
    <w:next w:val="1"/>
    <w:qFormat/>
    <w:uiPriority w:val="0"/>
    <w:pPr>
      <w:numPr>
        <w:ilvl w:val="0"/>
        <w:numId w:val="1"/>
      </w:numPr>
      <w:spacing w:before="312" w:beforeLines="100"/>
      <w:jc w:val="center"/>
    </w:pPr>
    <w:rPr>
      <w:rFonts w:eastAsia="黑体"/>
      <w:b/>
      <w:bCs/>
      <w:sz w:val="18"/>
      <w:szCs w:val="20"/>
    </w:rPr>
  </w:style>
  <w:style w:type="paragraph" w:styleId="14">
    <w:name w:val="List Paragraph"/>
    <w:basedOn w:val="1"/>
    <w:qFormat/>
    <w:uiPriority w:val="99"/>
    <w:pPr>
      <w:widowControl/>
      <w:autoSpaceDE w:val="0"/>
      <w:ind w:firstLine="420"/>
    </w:pPr>
    <w:rPr>
      <w:rFonts w:ascii="宋体" w:hAnsi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2620</Words>
  <Characters>4468</Characters>
  <Lines>0</Lines>
  <Paragraphs>0</Paragraphs>
  <TotalTime>31</TotalTime>
  <ScaleCrop>false</ScaleCrop>
  <LinksUpToDate>false</LinksUpToDate>
  <CharactersWithSpaces>4891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2024-05-27T06:04:00Z</dcterms:created>
  <dc:creator>mengyao</dc:creator>
  <cp:lastModifiedBy>麻书瑞</cp:lastModifiedBy>
  <dcterms:modified xsi:type="dcterms:W3CDTF">2025-05-22T01:17:57Z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9F461F66590A4063AE7472008F41AE0C_13</vt:lpwstr>
  </property>
  <property fmtid="{D5CDD505-2E9C-101B-9397-08002B2CF9AE}" pid="4" name="KSOTemplateDocerSaveRecord">
    <vt:lpwstr>eyJoZGlkIjoiZTJmNDIxNWY2MThjMjJlMDQ1MWUyNjJkZjgyZjA1N2YiLCJ1c2VySWQiOiI0NzgyMjEyMTcifQ==</vt:lpwstr>
  </property>
</Properties>
</file>