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9932C">
      <w:pPr>
        <w:pStyle w:val="10"/>
        <w:rPr>
          <w:rFonts w:hint="eastAsia" w:ascii="宋体" w:hAnsi="宋体" w:eastAsia="宋体"/>
          <w:color w:val="auto"/>
          <w:szCs w:val="21"/>
          <w:lang w:val="en-US" w:eastAsia="zh-CN"/>
        </w:rPr>
      </w:pPr>
      <w:bookmarkStart w:id="2" w:name="_GoBack"/>
      <w:bookmarkEnd w:id="2"/>
      <w:r>
        <w:rPr>
          <w:rFonts w:hint="eastAsia" w:ascii="宋体" w:hAnsi="宋体" w:eastAsia="宋体"/>
          <w:color w:val="auto"/>
          <w:szCs w:val="21"/>
          <w:lang w:val="en-US" w:eastAsia="zh-CN"/>
        </w:rPr>
        <w:t>北京林业大学</w:t>
      </w:r>
      <w:r>
        <w:rPr>
          <w:rFonts w:hint="eastAsia" w:ascii="宋体" w:hAnsi="宋体" w:eastAsia="宋体"/>
          <w:color w:val="auto"/>
          <w:szCs w:val="21"/>
        </w:rPr>
        <w:t>劳动教育</w:t>
      </w:r>
      <w:r>
        <w:rPr>
          <w:rFonts w:hint="eastAsia" w:ascii="宋体" w:hAnsi="宋体" w:eastAsia="宋体"/>
          <w:color w:val="auto"/>
          <w:szCs w:val="21"/>
          <w:lang w:val="en-US" w:eastAsia="zh-CN"/>
        </w:rPr>
        <w:t>与实践课程</w:t>
      </w:r>
    </w:p>
    <w:p w14:paraId="788140F7">
      <w:pPr>
        <w:pStyle w:val="10"/>
        <w:rPr>
          <w:rFonts w:ascii="宋体" w:hAnsi="宋体" w:eastAsia="宋体"/>
          <w:color w:val="auto"/>
        </w:rPr>
      </w:pPr>
      <w:r>
        <w:rPr>
          <w:rFonts w:hint="eastAsia" w:ascii="宋体" w:hAnsi="宋体" w:eastAsia="宋体"/>
          <w:color w:val="auto"/>
        </w:rPr>
        <w:t>教学大纲</w:t>
      </w:r>
    </w:p>
    <w:p w14:paraId="46603674">
      <w:pPr>
        <w:pStyle w:val="13"/>
        <w:rPr>
          <w:rFonts w:hint="eastAsia" w:ascii="Times New Roman" w:hAnsi="Times New Roman" w:eastAsia="华文新魏" w:cs="Times New Roman"/>
          <w:color w:val="auto"/>
        </w:rPr>
      </w:pPr>
      <w:r>
        <w:rPr>
          <w:rFonts w:hint="eastAsia" w:ascii="Times New Roman" w:hAnsi="Times New Roman" w:eastAsia="华文新魏" w:cs="Times New Roman"/>
          <w:color w:val="auto"/>
        </w:rPr>
        <w:t>学 时 数：总学时</w:t>
      </w:r>
      <w:r>
        <w:rPr>
          <w:rFonts w:ascii="Times New Roman" w:hAnsi="Times New Roman" w:eastAsia="华文新魏" w:cs="Times New Roman"/>
          <w:color w:val="auto"/>
        </w:rPr>
        <w:t>16</w:t>
      </w:r>
      <w:r>
        <w:rPr>
          <w:rFonts w:hint="eastAsia" w:ascii="Times New Roman" w:hAnsi="Times New Roman" w:eastAsia="华文新魏" w:cs="Times New Roman"/>
          <w:color w:val="auto"/>
        </w:rPr>
        <w:t>（讲课</w:t>
      </w:r>
      <w:r>
        <w:rPr>
          <w:rFonts w:ascii="Times New Roman" w:hAnsi="Times New Roman" w:eastAsia="华文新魏" w:cs="Times New Roman"/>
          <w:color w:val="auto"/>
        </w:rPr>
        <w:t>16</w:t>
      </w:r>
      <w:r>
        <w:rPr>
          <w:rFonts w:hint="eastAsia" w:ascii="Times New Roman" w:hAnsi="Times New Roman" w:eastAsia="华文新魏" w:cs="Times New Roman"/>
          <w:color w:val="auto"/>
        </w:rPr>
        <w:t xml:space="preserve"> ）                      学 分 数：1</w:t>
      </w:r>
    </w:p>
    <w:p w14:paraId="29520F87">
      <w:pPr>
        <w:pStyle w:val="13"/>
        <w:rPr>
          <w:rFonts w:ascii="Times New Roman" w:hAnsi="Times New Roman" w:eastAsia="华文新魏" w:cs="Times New Roman"/>
          <w:color w:val="auto"/>
        </w:rPr>
      </w:pPr>
      <w:r>
        <w:rPr>
          <w:rFonts w:hint="eastAsia" w:ascii="Times New Roman" w:hAnsi="Times New Roman" w:eastAsia="华文新魏" w:cs="Times New Roman"/>
          <w:color w:val="auto"/>
        </w:rPr>
        <w:t>课程性质：必修</w:t>
      </w:r>
    </w:p>
    <w:p w14:paraId="666033CB">
      <w:pPr>
        <w:pStyle w:val="13"/>
        <w:rPr>
          <w:rFonts w:hint="eastAsia" w:ascii="Times New Roman" w:hAnsi="Times New Roman" w:eastAsia="华文新魏" w:cs="Times New Roman"/>
          <w:color w:val="auto"/>
          <w:lang w:val="en-US" w:eastAsia="zh-CN"/>
        </w:rPr>
      </w:pPr>
      <w:r>
        <w:rPr>
          <w:rFonts w:hint="eastAsia" w:ascii="Times New Roman" w:hAnsi="Times New Roman" w:eastAsia="华文新魏" w:cs="Times New Roman"/>
          <w:color w:val="auto"/>
        </w:rPr>
        <w:t>课程类别：拓展教育                                  开课学期：</w:t>
      </w:r>
      <w:r>
        <w:rPr>
          <w:rFonts w:hint="eastAsia" w:ascii="Times New Roman" w:hAnsi="Times New Roman" w:eastAsia="华文新魏" w:cs="Times New Roman"/>
          <w:color w:val="auto"/>
          <w:lang w:val="en-US" w:eastAsia="zh-CN"/>
        </w:rPr>
        <w:t>大一第1学期</w:t>
      </w:r>
    </w:p>
    <w:p w14:paraId="32C7ACBC">
      <w:pPr>
        <w:pStyle w:val="13"/>
        <w:rPr>
          <w:rFonts w:ascii="Times New Roman" w:hAnsi="Times New Roman" w:eastAsia="华文新魏" w:cs="Times New Roman"/>
          <w:color w:val="auto"/>
        </w:rPr>
      </w:pPr>
      <w:r>
        <w:rPr>
          <w:rFonts w:hint="eastAsia" w:ascii="Times New Roman" w:hAnsi="Times New Roman" w:eastAsia="华文新魏" w:cs="Times New Roman"/>
          <w:color w:val="auto"/>
        </w:rPr>
        <w:t>主讲教师：</w:t>
      </w:r>
      <w:r>
        <w:rPr>
          <w:rFonts w:hint="eastAsia" w:ascii="Times New Roman" w:hAnsi="Times New Roman" w:eastAsia="华文新魏" w:cs="Times New Roman"/>
          <w:color w:val="auto"/>
          <w:kern w:val="2"/>
          <w:sz w:val="21"/>
          <w:szCs w:val="21"/>
          <w:lang w:val="en-US" w:eastAsia="zh-CN" w:bidi="ar-SA"/>
        </w:rPr>
        <w:t>马静、房良、何晴、孟秋实、宋翔宇、祖木来提·艾克木、郭超群、胡浩然</w:t>
      </w:r>
    </w:p>
    <w:p w14:paraId="1CC209D4">
      <w:pPr>
        <w:pStyle w:val="13"/>
        <w:rPr>
          <w:rFonts w:ascii="Times New Roman" w:hAnsi="Times New Roman" w:eastAsia="华文新魏" w:cs="Times New Roman"/>
          <w:color w:val="auto"/>
        </w:rPr>
      </w:pPr>
      <w:r>
        <w:rPr>
          <w:rFonts w:hint="eastAsia" w:ascii="Times New Roman" w:hAnsi="Times New Roman" w:eastAsia="华文新魏" w:cs="Times New Roman"/>
          <w:color w:val="auto"/>
        </w:rPr>
        <w:t>编写日期：</w:t>
      </w:r>
      <w:r>
        <w:rPr>
          <w:rFonts w:ascii="Times New Roman" w:hAnsi="Times New Roman" w:eastAsia="华文新魏" w:cs="Times New Roman"/>
          <w:color w:val="auto"/>
        </w:rPr>
        <w:t>2025</w:t>
      </w:r>
      <w:r>
        <w:rPr>
          <w:rFonts w:hint="eastAsia" w:ascii="Times New Roman" w:hAnsi="Times New Roman" w:eastAsia="华文新魏" w:cs="Times New Roman"/>
          <w:color w:val="auto"/>
        </w:rPr>
        <w:t>年4月2</w:t>
      </w:r>
      <w:r>
        <w:rPr>
          <w:rFonts w:ascii="Times New Roman" w:hAnsi="Times New Roman" w:eastAsia="华文新魏" w:cs="Times New Roman"/>
          <w:color w:val="auto"/>
        </w:rPr>
        <w:t>5</w:t>
      </w:r>
      <w:r>
        <w:rPr>
          <w:rFonts w:hint="eastAsia" w:ascii="Times New Roman" w:hAnsi="Times New Roman" w:eastAsia="华文新魏" w:cs="Times New Roman"/>
          <w:color w:val="auto"/>
        </w:rPr>
        <w:t xml:space="preserve">日                            </w:t>
      </w:r>
    </w:p>
    <w:p w14:paraId="04526C94">
      <w:pPr>
        <w:spacing w:line="360" w:lineRule="auto"/>
        <w:rPr>
          <w:rFonts w:ascii="华文新魏" w:hAnsi="等线 Light" w:eastAsia="华文新魏"/>
          <w:color w:val="auto"/>
        </w:rPr>
      </w:pPr>
    </w:p>
    <w:p w14:paraId="78FE4CD6">
      <w:pPr>
        <w:pStyle w:val="14"/>
        <w:rPr>
          <w:color w:val="auto"/>
        </w:rPr>
      </w:pPr>
      <w:r>
        <w:rPr>
          <w:rFonts w:hint="eastAsia"/>
          <w:color w:val="auto"/>
        </w:rPr>
        <w:t xml:space="preserve">一、课程性质和任务                                    </w:t>
      </w:r>
    </w:p>
    <w:p w14:paraId="356F6F7D">
      <w:pPr>
        <w:pStyle w:val="15"/>
        <w:rPr>
          <w:rFonts w:ascii="宋体" w:hAnsi="宋体" w:eastAsia="宋体"/>
          <w:color w:val="auto"/>
        </w:rPr>
      </w:pPr>
      <w:r>
        <w:rPr>
          <w:rFonts w:hint="eastAsia" w:ascii="宋体" w:hAnsi="宋体" w:eastAsia="宋体"/>
          <w:color w:val="auto"/>
        </w:rPr>
        <w:t>本课程是高校人才培养体系中的必修拓展教育课程，紧密围绕新时代劳动教育的要求，将北京林业大学的学科优势与生态文明建设、乡村振兴战略等国家战略深度融合。致力于培养学生的“知农爱农”“知林爱林”情怀。</w:t>
      </w:r>
    </w:p>
    <w:p w14:paraId="2009ACAA">
      <w:pPr>
        <w:pStyle w:val="15"/>
        <w:rPr>
          <w:rFonts w:ascii="宋体" w:hAnsi="宋体" w:eastAsia="宋体"/>
          <w:color w:val="auto"/>
        </w:rPr>
      </w:pPr>
      <w:r>
        <w:rPr>
          <w:rFonts w:hint="eastAsia" w:ascii="宋体" w:hAnsi="宋体" w:eastAsia="宋体"/>
          <w:color w:val="auto"/>
        </w:rPr>
        <w:t>课程以理论教学为主，系统讲授劳动的概念与价值、中华优秀传统劳动文化、新时代</w:t>
      </w:r>
      <w:r>
        <w:rPr>
          <w:rFonts w:hint="eastAsia" w:ascii="宋体" w:hAnsi="宋体" w:eastAsia="宋体"/>
          <w:color w:val="auto"/>
          <w:lang w:eastAsia="zh-CN"/>
        </w:rPr>
        <w:t>劳动教育</w:t>
      </w:r>
      <w:r>
        <w:rPr>
          <w:rFonts w:hint="eastAsia" w:ascii="宋体" w:hAnsi="宋体" w:eastAsia="宋体"/>
          <w:color w:val="auto"/>
        </w:rPr>
        <w:t>的内涵与定位等知识，同时注重对大学生日常生活劳动、生产劳动、服务性劳动、创造性劳动的实践指导，并详细介绍劳动心理、劳动保障与权益保护、劳动安全与防护等内容，</w:t>
      </w:r>
    </w:p>
    <w:p w14:paraId="45B88B53">
      <w:pPr>
        <w:pStyle w:val="15"/>
        <w:rPr>
          <w:rFonts w:hint="eastAsia" w:ascii="宋体" w:hAnsi="宋体" w:eastAsia="宋体"/>
          <w:color w:val="auto"/>
        </w:rPr>
      </w:pPr>
      <w:r>
        <w:rPr>
          <w:rFonts w:hint="eastAsia" w:ascii="宋体" w:hAnsi="宋体" w:eastAsia="宋体"/>
          <w:color w:val="auto"/>
        </w:rPr>
        <w:t>通过本课程的学习，学生将全面了解</w:t>
      </w:r>
      <w:r>
        <w:rPr>
          <w:rFonts w:hint="eastAsia" w:ascii="宋体" w:hAnsi="宋体" w:eastAsia="宋体"/>
          <w:color w:val="auto"/>
          <w:lang w:eastAsia="zh-CN"/>
        </w:rPr>
        <w:t>新时代劳动教育</w:t>
      </w:r>
      <w:r>
        <w:rPr>
          <w:rFonts w:hint="eastAsia" w:ascii="宋体" w:hAnsi="宋体" w:eastAsia="宋体"/>
          <w:color w:val="auto"/>
        </w:rPr>
        <w:t>的重要性和实践路径，提升自身的劳动技能和素养，为未来的职业发展和社会生活奠定坚实基础，更好地服务于生态文明建设、乡村振兴等国家战略。</w:t>
      </w:r>
    </w:p>
    <w:p w14:paraId="54AB1865">
      <w:pPr>
        <w:pStyle w:val="14"/>
        <w:rPr>
          <w:color w:val="auto"/>
        </w:rPr>
      </w:pPr>
      <w:r>
        <w:rPr>
          <w:rFonts w:hint="eastAsia"/>
          <w:color w:val="auto"/>
        </w:rPr>
        <w:t>二、课程目标</w:t>
      </w:r>
    </w:p>
    <w:p w14:paraId="1CB7213E">
      <w:pPr>
        <w:pStyle w:val="15"/>
        <w:rPr>
          <w:rFonts w:ascii="宋体" w:hAnsi="宋体" w:eastAsia="宋体"/>
          <w:color w:val="auto"/>
        </w:rPr>
      </w:pPr>
      <w:r>
        <w:rPr>
          <w:rFonts w:hint="eastAsia" w:ascii="宋体" w:hAnsi="宋体" w:eastAsia="宋体"/>
          <w:color w:val="auto"/>
        </w:rPr>
        <w:t>本课程的课程目标具体如下：</w:t>
      </w:r>
    </w:p>
    <w:p w14:paraId="5DA07E42">
      <w:pPr>
        <w:pStyle w:val="15"/>
        <w:ind w:firstLine="422"/>
        <w:rPr>
          <w:rFonts w:hint="eastAsia" w:ascii="宋体" w:hAnsi="宋体" w:eastAsia="宋体"/>
          <w:color w:val="auto"/>
        </w:rPr>
      </w:pPr>
      <w:r>
        <w:rPr>
          <w:rFonts w:hint="eastAsia" w:ascii="宋体" w:hAnsi="宋体" w:eastAsia="宋体"/>
          <w:b/>
          <w:bCs/>
          <w:color w:val="auto"/>
        </w:rPr>
        <w:t>课程目标1</w:t>
      </w:r>
      <w:r>
        <w:rPr>
          <w:rFonts w:hint="eastAsia" w:ascii="宋体" w:hAnsi="宋体" w:eastAsia="宋体"/>
          <w:color w:val="auto"/>
        </w:rPr>
        <w:t>：（知识）学生能够系统掌握劳动的概念、价值、历史文化以及新时代</w:t>
      </w:r>
      <w:r>
        <w:rPr>
          <w:rFonts w:hint="eastAsia" w:ascii="宋体" w:hAnsi="宋体" w:eastAsia="宋体"/>
          <w:color w:val="auto"/>
          <w:lang w:eastAsia="zh-CN"/>
        </w:rPr>
        <w:t>劳动教育</w:t>
      </w:r>
      <w:r>
        <w:rPr>
          <w:rFonts w:hint="eastAsia" w:ascii="宋体" w:hAnsi="宋体" w:eastAsia="宋体"/>
          <w:color w:val="auto"/>
        </w:rPr>
        <w:t>的内涵与定位，熟悉各类劳动形式的特点与要求，理解劳动保障、安全防护等相关法律法规和知识，全面构建劳动教育知识体系。</w:t>
      </w:r>
    </w:p>
    <w:p w14:paraId="221E4036">
      <w:pPr>
        <w:pStyle w:val="15"/>
        <w:ind w:firstLine="422"/>
        <w:rPr>
          <w:rFonts w:ascii="宋体" w:hAnsi="宋体" w:eastAsia="宋体"/>
          <w:color w:val="auto"/>
        </w:rPr>
      </w:pPr>
      <w:r>
        <w:rPr>
          <w:rFonts w:hint="eastAsia" w:ascii="宋体" w:hAnsi="宋体" w:eastAsia="宋体"/>
          <w:b/>
          <w:bCs/>
          <w:color w:val="auto"/>
        </w:rPr>
        <w:t>课程目标2</w:t>
      </w:r>
      <w:r>
        <w:rPr>
          <w:rFonts w:hint="eastAsia" w:ascii="宋体" w:hAnsi="宋体" w:eastAsia="宋体"/>
          <w:color w:val="auto"/>
        </w:rPr>
        <w:t>：（素质）培养学生的劳动精神和生态文明意识，增强学生对劳动的热爱与尊重，树立正确的劳动价值观和职业观，提升学生的生态文明素质和社会责任感，引导学生关注社会发展，积极参与劳动实践。</w:t>
      </w:r>
    </w:p>
    <w:p w14:paraId="493822F7">
      <w:pPr>
        <w:pStyle w:val="15"/>
        <w:ind w:firstLine="422"/>
        <w:rPr>
          <w:rFonts w:ascii="宋体" w:hAnsi="宋体" w:eastAsia="宋体"/>
          <w:color w:val="auto"/>
        </w:rPr>
      </w:pPr>
      <w:r>
        <w:rPr>
          <w:rFonts w:hint="eastAsia" w:ascii="宋体" w:hAnsi="宋体" w:eastAsia="宋体"/>
          <w:b/>
          <w:bCs/>
          <w:color w:val="auto"/>
        </w:rPr>
        <w:t>课程目标3</w:t>
      </w:r>
      <w:r>
        <w:rPr>
          <w:rFonts w:hint="eastAsia" w:ascii="宋体" w:hAnsi="宋体" w:eastAsia="宋体"/>
          <w:color w:val="auto"/>
        </w:rPr>
        <w:t>：（能力）提升学生的劳动实践能力，包括日常生活劳动、生产劳动、服务性劳动和创造性劳动能力，帮助学生掌握创新思维与方法，提高学生的劳动安全防护、劳动心理调节、劳动权益保护等能力，使学生具备适应未来职场和社会发展的综合能力。</w:t>
      </w:r>
    </w:p>
    <w:p w14:paraId="23C535A3">
      <w:pPr>
        <w:pStyle w:val="14"/>
        <w:spacing w:before="156" w:beforeLines="50"/>
        <w:rPr>
          <w:color w:val="auto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 w14:paraId="01962ABF">
      <w:pPr>
        <w:pStyle w:val="14"/>
        <w:spacing w:before="156" w:beforeLines="50"/>
        <w:rPr>
          <w:color w:val="auto"/>
        </w:rPr>
      </w:pPr>
      <w:r>
        <w:rPr>
          <w:rFonts w:hint="eastAsia"/>
          <w:color w:val="auto"/>
        </w:rPr>
        <w:t>三、课程教学内容、学时分配、基本要求及其对课程目标的支撑</w:t>
      </w:r>
    </w:p>
    <w:p w14:paraId="7107E2D1">
      <w:pPr>
        <w:pStyle w:val="15"/>
        <w:ind w:firstLine="422"/>
        <w:jc w:val="center"/>
        <w:rPr>
          <w:rFonts w:hint="eastAsia" w:ascii="宋体" w:hAnsi="宋体" w:eastAsia="宋体"/>
          <w:b/>
          <w:color w:val="auto"/>
        </w:rPr>
      </w:pPr>
      <w:r>
        <w:rPr>
          <w:rFonts w:hint="eastAsia" w:ascii="宋体" w:hAnsi="宋体" w:eastAsia="宋体"/>
          <w:b/>
          <w:color w:val="auto"/>
        </w:rPr>
        <w:t>表1 教学内容、基本要求、学时安排以及对课程目标的支持</w:t>
      </w:r>
    </w:p>
    <w:tbl>
      <w:tblPr>
        <w:tblStyle w:val="6"/>
        <w:tblW w:w="507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535"/>
        <w:gridCol w:w="2019"/>
        <w:gridCol w:w="2220"/>
        <w:gridCol w:w="2589"/>
        <w:gridCol w:w="708"/>
        <w:gridCol w:w="708"/>
        <w:gridCol w:w="673"/>
        <w:gridCol w:w="992"/>
        <w:gridCol w:w="1312"/>
        <w:gridCol w:w="987"/>
      </w:tblGrid>
      <w:tr w14:paraId="4F7E2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  <w:jc w:val="center"/>
        </w:trPr>
        <w:tc>
          <w:tcPr>
            <w:tcW w:w="222" w:type="pct"/>
            <w:shd w:val="clear" w:color="000000" w:fill="F9FAFB"/>
            <w:noWrap w:val="0"/>
            <w:vAlign w:val="center"/>
          </w:tcPr>
          <w:p w14:paraId="2F578A76">
            <w:pPr>
              <w:widowControl/>
              <w:jc w:val="center"/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  <w:t>序号</w:t>
            </w:r>
          </w:p>
        </w:tc>
        <w:tc>
          <w:tcPr>
            <w:tcW w:w="534" w:type="pct"/>
            <w:shd w:val="clear" w:color="000000" w:fill="F9FAFB"/>
            <w:noWrap w:val="0"/>
            <w:vAlign w:val="center"/>
          </w:tcPr>
          <w:p w14:paraId="4B9C299A">
            <w:pPr>
              <w:widowControl/>
              <w:jc w:val="center"/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  <w:t>授课内容</w:t>
            </w:r>
          </w:p>
        </w:tc>
        <w:tc>
          <w:tcPr>
            <w:tcW w:w="702" w:type="pct"/>
            <w:shd w:val="clear" w:color="000000" w:fill="F9FAFB"/>
            <w:noWrap w:val="0"/>
            <w:vAlign w:val="center"/>
          </w:tcPr>
          <w:p w14:paraId="3490A6AA">
            <w:pPr>
              <w:widowControl/>
              <w:jc w:val="center"/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  <w:t>教学内容</w:t>
            </w:r>
          </w:p>
        </w:tc>
        <w:tc>
          <w:tcPr>
            <w:tcW w:w="772" w:type="pct"/>
            <w:shd w:val="clear" w:color="000000" w:fill="F9FAFB"/>
            <w:noWrap w:val="0"/>
            <w:vAlign w:val="center"/>
          </w:tcPr>
          <w:p w14:paraId="54950737">
            <w:pPr>
              <w:widowControl/>
              <w:jc w:val="center"/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  <w:t>基本要求</w:t>
            </w:r>
          </w:p>
        </w:tc>
        <w:tc>
          <w:tcPr>
            <w:tcW w:w="900" w:type="pct"/>
            <w:shd w:val="clear" w:color="000000" w:fill="F9FAFB"/>
            <w:noWrap w:val="0"/>
            <w:vAlign w:val="center"/>
          </w:tcPr>
          <w:p w14:paraId="46219975">
            <w:pPr>
              <w:widowControl/>
              <w:jc w:val="center"/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  <w:t>课程思政设计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557DABA5">
            <w:pPr>
              <w:widowControl/>
              <w:jc w:val="center"/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  <w:t>理论</w:t>
            </w:r>
          </w:p>
          <w:p w14:paraId="02AB90B5">
            <w:pPr>
              <w:widowControl/>
              <w:jc w:val="center"/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  <w:t>学时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634026DB">
            <w:pPr>
              <w:widowControl/>
              <w:jc w:val="center"/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  <w:t>研讨学时</w:t>
            </w:r>
          </w:p>
        </w:tc>
        <w:tc>
          <w:tcPr>
            <w:tcW w:w="234" w:type="pct"/>
            <w:shd w:val="clear" w:color="000000" w:fill="F9FAFB"/>
            <w:noWrap w:val="0"/>
            <w:vAlign w:val="center"/>
          </w:tcPr>
          <w:p w14:paraId="1AFB91F2">
            <w:pPr>
              <w:widowControl/>
              <w:jc w:val="center"/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  <w:t>实验学时</w:t>
            </w:r>
          </w:p>
        </w:tc>
        <w:tc>
          <w:tcPr>
            <w:tcW w:w="345" w:type="pct"/>
            <w:shd w:val="clear" w:color="000000" w:fill="F9FAFB"/>
            <w:noWrap w:val="0"/>
            <w:vAlign w:val="center"/>
          </w:tcPr>
          <w:p w14:paraId="53C60DD6">
            <w:pPr>
              <w:widowControl/>
              <w:jc w:val="center"/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  <w:t>支持课程目标</w:t>
            </w:r>
          </w:p>
        </w:tc>
        <w:tc>
          <w:tcPr>
            <w:tcW w:w="456" w:type="pct"/>
            <w:shd w:val="clear" w:color="000000" w:fill="F9FAFB"/>
            <w:noWrap w:val="0"/>
            <w:vAlign w:val="center"/>
          </w:tcPr>
          <w:p w14:paraId="309BAC04">
            <w:pPr>
              <w:widowControl/>
              <w:jc w:val="center"/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  <w:t>落实人才培养理念</w:t>
            </w:r>
          </w:p>
        </w:tc>
        <w:tc>
          <w:tcPr>
            <w:tcW w:w="343" w:type="pct"/>
            <w:shd w:val="clear" w:color="000000" w:fill="F9FAFB"/>
            <w:noWrap w:val="0"/>
            <w:vAlign w:val="center"/>
          </w:tcPr>
          <w:p w14:paraId="543042EA">
            <w:pPr>
              <w:widowControl/>
              <w:jc w:val="center"/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  <w:t>重点 / 难点 / 一般知识点</w:t>
            </w:r>
          </w:p>
        </w:tc>
      </w:tr>
      <w:tr w14:paraId="40F5D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2" w:type="pct"/>
            <w:shd w:val="clear" w:color="000000" w:fill="F9FAFB"/>
            <w:noWrap w:val="0"/>
            <w:vAlign w:val="center"/>
          </w:tcPr>
          <w:p w14:paraId="16CE1EC6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534" w:type="pct"/>
            <w:shd w:val="clear" w:color="000000" w:fill="F9FAFB"/>
            <w:noWrap w:val="0"/>
            <w:vAlign w:val="center"/>
          </w:tcPr>
          <w:p w14:paraId="0156B0A5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  <w:lang w:eastAsia="zh-CN"/>
              </w:rPr>
              <w:t>劳动教育</w:t>
            </w: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概述</w:t>
            </w:r>
          </w:p>
        </w:tc>
        <w:tc>
          <w:tcPr>
            <w:tcW w:w="702" w:type="pct"/>
            <w:shd w:val="clear" w:color="000000" w:fill="F9FAFB"/>
            <w:noWrap w:val="0"/>
            <w:vAlign w:val="center"/>
          </w:tcPr>
          <w:p w14:paraId="49A0D8C6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劳动的概念与价值、中华优秀传统劳动文化、新时代</w:t>
            </w: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  <w:lang w:eastAsia="zh-CN"/>
              </w:rPr>
              <w:t>劳动教育</w:t>
            </w: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的内涵与定位、</w:t>
            </w: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  <w:lang w:eastAsia="zh-CN"/>
              </w:rPr>
              <w:t>劳动教育</w:t>
            </w: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的历史与当代实践、劳动教育的目标与实施路径</w:t>
            </w:r>
          </w:p>
        </w:tc>
        <w:tc>
          <w:tcPr>
            <w:tcW w:w="772" w:type="pct"/>
            <w:shd w:val="clear" w:color="000000" w:fill="F9FAFB"/>
            <w:noWrap w:val="0"/>
            <w:vAlign w:val="center"/>
          </w:tcPr>
          <w:p w14:paraId="7570A655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理解劳动的本质与价值，熟知中华传统劳动文化精髓，明确</w:t>
            </w: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  <w:lang w:eastAsia="zh-CN"/>
              </w:rPr>
              <w:t>劳动教育</w:t>
            </w: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在生态文明建设和乡村振兴中的作用，掌握劳动教育目标与实施方法</w:t>
            </w:r>
          </w:p>
        </w:tc>
        <w:tc>
          <w:tcPr>
            <w:tcW w:w="900" w:type="pct"/>
            <w:shd w:val="clear" w:color="000000" w:fill="F9FAFB"/>
            <w:noWrap w:val="0"/>
            <w:vAlign w:val="center"/>
          </w:tcPr>
          <w:p w14:paraId="5EC79D57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引入古代</w:t>
            </w: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  <w:lang w:eastAsia="zh-CN"/>
              </w:rPr>
              <w:t>劳动教育</w:t>
            </w: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中体现民族智慧和文化传承的案例，增强学生文化自信；结合新时代</w:t>
            </w: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  <w:lang w:eastAsia="zh-CN"/>
              </w:rPr>
              <w:t>劳动教育</w:t>
            </w: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助力乡村振兴的实例，激发学生投身乡村建设的热情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1EA7FB9C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01837D12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34" w:type="pct"/>
            <w:shd w:val="clear" w:color="000000" w:fill="F9FAFB"/>
            <w:noWrap w:val="0"/>
            <w:vAlign w:val="center"/>
          </w:tcPr>
          <w:p w14:paraId="7C92743B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45" w:type="pct"/>
            <w:shd w:val="clear" w:color="000000" w:fill="F9FAFB"/>
            <w:noWrap w:val="0"/>
            <w:vAlign w:val="center"/>
          </w:tcPr>
          <w:p w14:paraId="781774D0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1、2、3</w:t>
            </w:r>
          </w:p>
        </w:tc>
        <w:tc>
          <w:tcPr>
            <w:tcW w:w="456" w:type="pct"/>
            <w:shd w:val="clear" w:color="000000" w:fill="F9FAFB"/>
            <w:noWrap w:val="0"/>
            <w:vAlign w:val="center"/>
          </w:tcPr>
          <w:p w14:paraId="6B99C91F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强化生态文明素质教育，推进通专融合</w:t>
            </w:r>
          </w:p>
        </w:tc>
        <w:tc>
          <w:tcPr>
            <w:tcW w:w="343" w:type="pct"/>
            <w:shd w:val="clear" w:color="000000" w:fill="F9FAFB"/>
            <w:noWrap w:val="0"/>
            <w:vAlign w:val="center"/>
          </w:tcPr>
          <w:p w14:paraId="063D63E8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重点</w:t>
            </w:r>
          </w:p>
        </w:tc>
      </w:tr>
      <w:tr w14:paraId="6A85B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2" w:type="pct"/>
            <w:shd w:val="clear" w:color="000000" w:fill="F9FAFB"/>
            <w:noWrap w:val="0"/>
            <w:vAlign w:val="center"/>
          </w:tcPr>
          <w:p w14:paraId="18E5CEF0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534" w:type="pct"/>
            <w:shd w:val="clear" w:color="000000" w:fill="F9FAFB"/>
            <w:noWrap w:val="0"/>
            <w:vAlign w:val="center"/>
          </w:tcPr>
          <w:p w14:paraId="3B587B10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新时代劳动观构建</w:t>
            </w:r>
          </w:p>
        </w:tc>
        <w:tc>
          <w:tcPr>
            <w:tcW w:w="702" w:type="pct"/>
            <w:shd w:val="clear" w:color="000000" w:fill="F9FAFB"/>
            <w:noWrap w:val="0"/>
            <w:vAlign w:val="center"/>
          </w:tcPr>
          <w:p w14:paraId="300DF051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马克思主义劳动观、习近平总书记关于劳动的重要论述、劳模精神、劳动精神、工匠精神</w:t>
            </w:r>
          </w:p>
        </w:tc>
        <w:tc>
          <w:tcPr>
            <w:tcW w:w="772" w:type="pct"/>
            <w:shd w:val="clear" w:color="000000" w:fill="F9FAFB"/>
            <w:noWrap w:val="0"/>
            <w:vAlign w:val="center"/>
          </w:tcPr>
          <w:p w14:paraId="28CD1718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深入理解马克思主义劳动观和习近平总书记劳动论述的核心要义，领会劳模精神、劳动精神和工匠精神的内涵与价值</w:t>
            </w:r>
          </w:p>
        </w:tc>
        <w:tc>
          <w:tcPr>
            <w:tcW w:w="900" w:type="pct"/>
            <w:shd w:val="clear" w:color="000000" w:fill="F9FAFB"/>
            <w:noWrap w:val="0"/>
            <w:vAlign w:val="center"/>
          </w:tcPr>
          <w:p w14:paraId="349EB6A4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讲述黄大年等劳模事迹，引导学生学习劳模精神；结合农林领域劳模案例，激励学生践行劳动精神和工匠精神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27EC0962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2EF09225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34" w:type="pct"/>
            <w:shd w:val="clear" w:color="000000" w:fill="F9FAFB"/>
            <w:noWrap w:val="0"/>
            <w:vAlign w:val="center"/>
          </w:tcPr>
          <w:p w14:paraId="093740B2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45" w:type="pct"/>
            <w:shd w:val="clear" w:color="000000" w:fill="F9FAFB"/>
            <w:noWrap w:val="0"/>
            <w:vAlign w:val="center"/>
          </w:tcPr>
          <w:p w14:paraId="27050747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1、2、3</w:t>
            </w:r>
          </w:p>
        </w:tc>
        <w:tc>
          <w:tcPr>
            <w:tcW w:w="456" w:type="pct"/>
            <w:shd w:val="clear" w:color="000000" w:fill="F9FAFB"/>
            <w:noWrap w:val="0"/>
            <w:vAlign w:val="center"/>
          </w:tcPr>
          <w:p w14:paraId="1F71F9C8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强化生态文明素质教育</w:t>
            </w:r>
          </w:p>
        </w:tc>
        <w:tc>
          <w:tcPr>
            <w:tcW w:w="343" w:type="pct"/>
            <w:shd w:val="clear" w:color="000000" w:fill="F9FAFB"/>
            <w:noWrap w:val="0"/>
            <w:vAlign w:val="center"/>
          </w:tcPr>
          <w:p w14:paraId="6FC5918F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重点</w:t>
            </w:r>
          </w:p>
        </w:tc>
      </w:tr>
      <w:tr w14:paraId="68A31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2" w:type="pct"/>
            <w:shd w:val="clear" w:color="000000" w:fill="F9FAFB"/>
            <w:noWrap w:val="0"/>
            <w:vAlign w:val="center"/>
          </w:tcPr>
          <w:p w14:paraId="5361B679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534" w:type="pct"/>
            <w:shd w:val="clear" w:color="000000" w:fill="F9FAFB"/>
            <w:noWrap w:val="0"/>
            <w:vAlign w:val="center"/>
          </w:tcPr>
          <w:p w14:paraId="23DA4D5E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劳动心理</w:t>
            </w:r>
          </w:p>
        </w:tc>
        <w:tc>
          <w:tcPr>
            <w:tcW w:w="702" w:type="pct"/>
            <w:shd w:val="clear" w:color="000000" w:fill="F9FAFB"/>
            <w:noWrap w:val="0"/>
            <w:vAlign w:val="center"/>
          </w:tcPr>
          <w:p w14:paraId="3B317237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职业匹配与劳动人格培养、劳动效率提升的心理机制、积极劳动心理的维护策略、劳动中的团队协作与沟通</w:t>
            </w:r>
          </w:p>
        </w:tc>
        <w:tc>
          <w:tcPr>
            <w:tcW w:w="772" w:type="pct"/>
            <w:shd w:val="clear" w:color="000000" w:fill="F9FAFB"/>
            <w:noWrap w:val="0"/>
            <w:vAlign w:val="center"/>
          </w:tcPr>
          <w:p w14:paraId="7F5988AE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掌握职业匹配理论，学会提升劳动效率和维护积极劳动心理的方法，</w:t>
            </w: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</w:rPr>
              <w:t>提升团队协作与沟通意识=</w:t>
            </w:r>
          </w:p>
        </w:tc>
        <w:tc>
          <w:tcPr>
            <w:tcW w:w="900" w:type="pct"/>
            <w:shd w:val="clear" w:color="000000" w:fill="F9FAFB"/>
            <w:noWrap w:val="0"/>
            <w:vAlign w:val="center"/>
          </w:tcPr>
          <w:p w14:paraId="54639409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通过团队实践活动案例分析，</w:t>
            </w: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</w:rPr>
              <w:t>教育学生掌握团队合作</w:t>
            </w: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精神和沟通技巧，引导学生树立积极劳动心态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5C5DFCC0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597C3836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34" w:type="pct"/>
            <w:shd w:val="clear" w:color="000000" w:fill="F9FAFB"/>
            <w:noWrap w:val="0"/>
            <w:vAlign w:val="center"/>
          </w:tcPr>
          <w:p w14:paraId="7076ACCA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45" w:type="pct"/>
            <w:shd w:val="clear" w:color="000000" w:fill="F9FAFB"/>
            <w:noWrap w:val="0"/>
            <w:vAlign w:val="center"/>
          </w:tcPr>
          <w:p w14:paraId="29A55F14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2、3</w:t>
            </w:r>
          </w:p>
        </w:tc>
        <w:tc>
          <w:tcPr>
            <w:tcW w:w="456" w:type="pct"/>
            <w:shd w:val="clear" w:color="000000" w:fill="F9FAFB"/>
            <w:noWrap w:val="0"/>
            <w:vAlign w:val="center"/>
          </w:tcPr>
          <w:p w14:paraId="26563BCF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强化创新创业能力培养</w:t>
            </w:r>
          </w:p>
        </w:tc>
        <w:tc>
          <w:tcPr>
            <w:tcW w:w="343" w:type="pct"/>
            <w:shd w:val="clear" w:color="000000" w:fill="F9FAFB"/>
            <w:noWrap w:val="0"/>
            <w:vAlign w:val="center"/>
          </w:tcPr>
          <w:p w14:paraId="3B65942F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</w:rPr>
              <w:t>难点</w:t>
            </w:r>
          </w:p>
        </w:tc>
      </w:tr>
      <w:tr w14:paraId="56C4E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2" w:type="pct"/>
            <w:shd w:val="clear" w:color="000000" w:fill="F9FAFB"/>
            <w:noWrap w:val="0"/>
            <w:vAlign w:val="center"/>
          </w:tcPr>
          <w:p w14:paraId="4B85C4E4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534" w:type="pct"/>
            <w:shd w:val="clear" w:color="000000" w:fill="F9FAFB"/>
            <w:noWrap w:val="0"/>
            <w:vAlign w:val="center"/>
          </w:tcPr>
          <w:p w14:paraId="5E5F4B54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大学生的日常生活劳动</w:t>
            </w:r>
          </w:p>
        </w:tc>
        <w:tc>
          <w:tcPr>
            <w:tcW w:w="702" w:type="pct"/>
            <w:shd w:val="clear" w:color="000000" w:fill="F9FAFB"/>
            <w:noWrap w:val="0"/>
            <w:vAlign w:val="center"/>
          </w:tcPr>
          <w:p w14:paraId="10FCC35D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日常生活劳动的定义与类型、劳动实践</w:t>
            </w:r>
          </w:p>
        </w:tc>
        <w:tc>
          <w:tcPr>
            <w:tcW w:w="772" w:type="pct"/>
            <w:shd w:val="clear" w:color="000000" w:fill="F9FAFB"/>
            <w:noWrap w:val="0"/>
            <w:vAlign w:val="center"/>
          </w:tcPr>
          <w:p w14:paraId="3EACE471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明确日常生活劳动的范畴和重要性，养成良好的日常生活劳动习惯</w:t>
            </w:r>
          </w:p>
        </w:tc>
        <w:tc>
          <w:tcPr>
            <w:tcW w:w="900" w:type="pct"/>
            <w:shd w:val="clear" w:color="000000" w:fill="F9FAFB"/>
            <w:noWrap w:val="0"/>
            <w:vAlign w:val="center"/>
          </w:tcPr>
          <w:p w14:paraId="2F78B72A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以宿舍文化节等活动为案例，引导学生积极参与校园日常生活劳动，培养学生热爱劳动、珍惜劳动成果的品质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7158E78D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2901B254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34" w:type="pct"/>
            <w:shd w:val="clear" w:color="000000" w:fill="F9FAFB"/>
            <w:noWrap w:val="0"/>
            <w:vAlign w:val="center"/>
          </w:tcPr>
          <w:p w14:paraId="5F0083EE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45" w:type="pct"/>
            <w:shd w:val="clear" w:color="000000" w:fill="F9FAFB"/>
            <w:noWrap w:val="0"/>
            <w:vAlign w:val="center"/>
          </w:tcPr>
          <w:p w14:paraId="35C7D495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2、3</w:t>
            </w:r>
          </w:p>
        </w:tc>
        <w:tc>
          <w:tcPr>
            <w:tcW w:w="456" w:type="pct"/>
            <w:shd w:val="clear" w:color="000000" w:fill="F9FAFB"/>
            <w:noWrap w:val="0"/>
            <w:vAlign w:val="center"/>
          </w:tcPr>
          <w:p w14:paraId="2B9F9B42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强化生态文明素质教育</w:t>
            </w:r>
          </w:p>
        </w:tc>
        <w:tc>
          <w:tcPr>
            <w:tcW w:w="343" w:type="pct"/>
            <w:shd w:val="clear" w:color="000000" w:fill="F9FAFB"/>
            <w:noWrap w:val="0"/>
            <w:vAlign w:val="center"/>
          </w:tcPr>
          <w:p w14:paraId="4DD13063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</w:rPr>
              <w:t>一般知识点</w:t>
            </w:r>
          </w:p>
        </w:tc>
      </w:tr>
      <w:tr w14:paraId="6BD03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2" w:type="pct"/>
            <w:shd w:val="clear" w:color="000000" w:fill="F9FAFB"/>
            <w:noWrap w:val="0"/>
            <w:vAlign w:val="center"/>
          </w:tcPr>
          <w:p w14:paraId="4329BB8B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534" w:type="pct"/>
            <w:shd w:val="clear" w:color="000000" w:fill="F9FAFB"/>
            <w:noWrap w:val="0"/>
            <w:vAlign w:val="center"/>
          </w:tcPr>
          <w:p w14:paraId="0C471C21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大学生的生产劳动</w:t>
            </w:r>
          </w:p>
        </w:tc>
        <w:tc>
          <w:tcPr>
            <w:tcW w:w="702" w:type="pct"/>
            <w:shd w:val="clear" w:color="000000" w:fill="F9FAFB"/>
            <w:noWrap w:val="0"/>
            <w:vAlign w:val="center"/>
          </w:tcPr>
          <w:p w14:paraId="7FB19BC2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专业实习实训、专业服务</w:t>
            </w:r>
          </w:p>
        </w:tc>
        <w:tc>
          <w:tcPr>
            <w:tcW w:w="772" w:type="pct"/>
            <w:shd w:val="clear" w:color="000000" w:fill="F9FAFB"/>
            <w:noWrap w:val="0"/>
            <w:vAlign w:val="center"/>
          </w:tcPr>
          <w:p w14:paraId="4A988F5B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了解专业实习实训和专业服务的内容与意义，掌握相关劳动技能和实践方法</w:t>
            </w:r>
          </w:p>
        </w:tc>
        <w:tc>
          <w:tcPr>
            <w:tcW w:w="900" w:type="pct"/>
            <w:shd w:val="clear" w:color="000000" w:fill="F9FAFB"/>
            <w:noWrap w:val="0"/>
            <w:vAlign w:val="center"/>
          </w:tcPr>
          <w:p w14:paraId="7E1C3D65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结合学校各专业实习实训基地项目，强调专业劳动对职业素养提升的作用，鼓励学生在专业服务中创新实践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7AA8E591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10397FED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34" w:type="pct"/>
            <w:shd w:val="clear" w:color="000000" w:fill="F9FAFB"/>
            <w:noWrap w:val="0"/>
            <w:vAlign w:val="center"/>
          </w:tcPr>
          <w:p w14:paraId="4D209FB0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45" w:type="pct"/>
            <w:shd w:val="clear" w:color="000000" w:fill="F9FAFB"/>
            <w:noWrap w:val="0"/>
            <w:vAlign w:val="center"/>
          </w:tcPr>
          <w:p w14:paraId="6E7DC1A6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1、3</w:t>
            </w:r>
          </w:p>
        </w:tc>
        <w:tc>
          <w:tcPr>
            <w:tcW w:w="456" w:type="pct"/>
            <w:shd w:val="clear" w:color="000000" w:fill="F9FAFB"/>
            <w:noWrap w:val="0"/>
            <w:vAlign w:val="center"/>
          </w:tcPr>
          <w:p w14:paraId="13D998D5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 xml:space="preserve">强化林草专业知识传授，强化创新创业能力培养 </w:t>
            </w:r>
          </w:p>
        </w:tc>
        <w:tc>
          <w:tcPr>
            <w:tcW w:w="343" w:type="pct"/>
            <w:shd w:val="clear" w:color="000000" w:fill="F9FAFB"/>
            <w:noWrap w:val="0"/>
            <w:vAlign w:val="center"/>
          </w:tcPr>
          <w:p w14:paraId="5CA6FB49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</w:rPr>
              <w:t>一般知识点</w:t>
            </w:r>
          </w:p>
        </w:tc>
      </w:tr>
      <w:tr w14:paraId="7CC6A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2" w:type="pct"/>
            <w:shd w:val="clear" w:color="000000" w:fill="F9FAFB"/>
            <w:noWrap w:val="0"/>
            <w:vAlign w:val="center"/>
          </w:tcPr>
          <w:p w14:paraId="285B0929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534" w:type="pct"/>
            <w:shd w:val="clear" w:color="000000" w:fill="F9FAFB"/>
            <w:noWrap w:val="0"/>
            <w:vAlign w:val="center"/>
          </w:tcPr>
          <w:p w14:paraId="04CD317A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大学生的服务性劳动</w:t>
            </w:r>
          </w:p>
        </w:tc>
        <w:tc>
          <w:tcPr>
            <w:tcW w:w="702" w:type="pct"/>
            <w:shd w:val="clear" w:color="000000" w:fill="F9FAFB"/>
            <w:noWrap w:val="0"/>
            <w:vAlign w:val="center"/>
          </w:tcPr>
          <w:p w14:paraId="522C90AD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志愿服务、社会实践</w:t>
            </w:r>
          </w:p>
        </w:tc>
        <w:tc>
          <w:tcPr>
            <w:tcW w:w="772" w:type="pct"/>
            <w:shd w:val="clear" w:color="000000" w:fill="F9FAFB"/>
            <w:noWrap w:val="0"/>
            <w:vAlign w:val="center"/>
          </w:tcPr>
          <w:p w14:paraId="13CAB3D1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理解志愿服务和社会实践的价值，掌握参与志愿服务和社会实践的途径与方法</w:t>
            </w:r>
          </w:p>
        </w:tc>
        <w:tc>
          <w:tcPr>
            <w:tcW w:w="900" w:type="pct"/>
            <w:shd w:val="clear" w:color="000000" w:fill="F9FAFB"/>
            <w:noWrap w:val="0"/>
            <w:vAlign w:val="center"/>
          </w:tcPr>
          <w:p w14:paraId="72AA7C34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以乡村振兴支教、森林防火宣传等案例，激发学生社会责任感，引导学生积极参与社会服务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7BCE90F1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1658DE0A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34" w:type="pct"/>
            <w:shd w:val="clear" w:color="000000" w:fill="F9FAFB"/>
            <w:noWrap w:val="0"/>
            <w:vAlign w:val="center"/>
          </w:tcPr>
          <w:p w14:paraId="379F55FC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45" w:type="pct"/>
            <w:shd w:val="clear" w:color="000000" w:fill="F9FAFB"/>
            <w:noWrap w:val="0"/>
            <w:vAlign w:val="center"/>
          </w:tcPr>
          <w:p w14:paraId="7C19ABDF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2、3</w:t>
            </w:r>
          </w:p>
        </w:tc>
        <w:tc>
          <w:tcPr>
            <w:tcW w:w="456" w:type="pct"/>
            <w:shd w:val="clear" w:color="000000" w:fill="F9FAFB"/>
            <w:noWrap w:val="0"/>
            <w:vAlign w:val="center"/>
          </w:tcPr>
          <w:p w14:paraId="70551FA4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强化生态文明素质教育，强化创新创业能力培养，推进通专融合</w:t>
            </w:r>
          </w:p>
        </w:tc>
        <w:tc>
          <w:tcPr>
            <w:tcW w:w="343" w:type="pct"/>
            <w:shd w:val="clear" w:color="000000" w:fill="F9FAFB"/>
            <w:noWrap w:val="0"/>
            <w:vAlign w:val="center"/>
          </w:tcPr>
          <w:p w14:paraId="48E9C99B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</w:rPr>
              <w:t>一般知识点</w:t>
            </w:r>
          </w:p>
        </w:tc>
      </w:tr>
      <w:tr w14:paraId="58A53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2" w:type="pct"/>
            <w:shd w:val="clear" w:color="000000" w:fill="F9FAFB"/>
            <w:noWrap w:val="0"/>
            <w:vAlign w:val="center"/>
          </w:tcPr>
          <w:p w14:paraId="55623646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534" w:type="pct"/>
            <w:shd w:val="clear" w:color="000000" w:fill="F9FAFB"/>
            <w:noWrap w:val="0"/>
            <w:vAlign w:val="center"/>
          </w:tcPr>
          <w:p w14:paraId="18D0987D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劳动保障与权益保护</w:t>
            </w:r>
          </w:p>
        </w:tc>
        <w:tc>
          <w:tcPr>
            <w:tcW w:w="702" w:type="pct"/>
            <w:shd w:val="clear" w:color="000000" w:fill="F9FAFB"/>
            <w:noWrap w:val="0"/>
            <w:vAlign w:val="center"/>
          </w:tcPr>
          <w:p w14:paraId="54D48073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劳动关系与法律基础、劳动合同与大学生权益保护、劳动相关法律法规解读、社会保障体系、劳动风险防范与争议解决</w:t>
            </w:r>
          </w:p>
        </w:tc>
        <w:tc>
          <w:tcPr>
            <w:tcW w:w="772" w:type="pct"/>
            <w:shd w:val="clear" w:color="000000" w:fill="F9FAFB"/>
            <w:noWrap w:val="0"/>
            <w:vAlign w:val="center"/>
          </w:tcPr>
          <w:p w14:paraId="3E79D847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熟悉劳动法律法规和社会保障体系，掌握劳动权益保护和风险防范的方法</w:t>
            </w:r>
          </w:p>
        </w:tc>
        <w:tc>
          <w:tcPr>
            <w:tcW w:w="900" w:type="pct"/>
            <w:shd w:val="clear" w:color="000000" w:fill="F9FAFB"/>
            <w:noWrap w:val="0"/>
            <w:vAlign w:val="center"/>
          </w:tcPr>
          <w:p w14:paraId="04D36FE5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通过实习兼职权益维护案例分析，增强学生法律意识和风险防范意识，引导学生依法维护自身权益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02C1E371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39D72FCD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34" w:type="pct"/>
            <w:shd w:val="clear" w:color="000000" w:fill="F9FAFB"/>
            <w:noWrap w:val="0"/>
            <w:vAlign w:val="center"/>
          </w:tcPr>
          <w:p w14:paraId="50FBEC97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45" w:type="pct"/>
            <w:shd w:val="clear" w:color="000000" w:fill="F9FAFB"/>
            <w:noWrap w:val="0"/>
            <w:vAlign w:val="center"/>
          </w:tcPr>
          <w:p w14:paraId="23AF279D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1、3</w:t>
            </w:r>
          </w:p>
        </w:tc>
        <w:tc>
          <w:tcPr>
            <w:tcW w:w="456" w:type="pct"/>
            <w:shd w:val="clear" w:color="000000" w:fill="F9FAFB"/>
            <w:noWrap w:val="0"/>
            <w:vAlign w:val="center"/>
          </w:tcPr>
          <w:p w14:paraId="691F9FE4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强化创新创业能力培养</w:t>
            </w:r>
          </w:p>
        </w:tc>
        <w:tc>
          <w:tcPr>
            <w:tcW w:w="343" w:type="pct"/>
            <w:shd w:val="clear" w:color="000000" w:fill="F9FAFB"/>
            <w:noWrap w:val="0"/>
            <w:vAlign w:val="center"/>
          </w:tcPr>
          <w:p w14:paraId="146CABD8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</w:rPr>
              <w:t>重点</w:t>
            </w:r>
          </w:p>
        </w:tc>
      </w:tr>
      <w:tr w14:paraId="4A794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2" w:type="pct"/>
            <w:shd w:val="clear" w:color="000000" w:fill="F9FAFB"/>
            <w:noWrap w:val="0"/>
            <w:vAlign w:val="center"/>
          </w:tcPr>
          <w:p w14:paraId="608262E7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534" w:type="pct"/>
            <w:shd w:val="clear" w:color="000000" w:fill="F9FAFB"/>
            <w:noWrap w:val="0"/>
            <w:vAlign w:val="center"/>
          </w:tcPr>
          <w:p w14:paraId="6FF640DF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创造性劳动与专业发展</w:t>
            </w:r>
          </w:p>
        </w:tc>
        <w:tc>
          <w:tcPr>
            <w:tcW w:w="702" w:type="pct"/>
            <w:shd w:val="clear" w:color="000000" w:fill="F9FAFB"/>
            <w:noWrap w:val="0"/>
            <w:vAlign w:val="center"/>
          </w:tcPr>
          <w:p w14:paraId="24850C9D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创造性劳动的概念与意义、如何培养创造性劳动能力、创新创业与乡村振兴</w:t>
            </w:r>
          </w:p>
        </w:tc>
        <w:tc>
          <w:tcPr>
            <w:tcW w:w="772" w:type="pct"/>
            <w:shd w:val="clear" w:color="000000" w:fill="F9FAFB"/>
            <w:noWrap w:val="0"/>
            <w:vAlign w:val="center"/>
          </w:tcPr>
          <w:p w14:paraId="4C248D68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理解创造性劳动的内涵和价值，掌握创新思维方法，具备一定的创新创业能力</w:t>
            </w:r>
          </w:p>
        </w:tc>
        <w:tc>
          <w:tcPr>
            <w:tcW w:w="900" w:type="pct"/>
            <w:shd w:val="clear" w:color="000000" w:fill="F9FAFB"/>
            <w:noWrap w:val="0"/>
            <w:vAlign w:val="center"/>
          </w:tcPr>
          <w:p w14:paraId="466A9298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介绍学校学生在林业、生态环境领域的创新创业案例，鼓励学生结合专业开展创新实践，服务乡村振兴和生态文明建设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252F4876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5A3ACF98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34" w:type="pct"/>
            <w:shd w:val="clear" w:color="000000" w:fill="F9FAFB"/>
            <w:noWrap w:val="0"/>
            <w:vAlign w:val="center"/>
          </w:tcPr>
          <w:p w14:paraId="2C65F3C4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45" w:type="pct"/>
            <w:shd w:val="clear" w:color="000000" w:fill="F9FAFB"/>
            <w:noWrap w:val="0"/>
            <w:vAlign w:val="center"/>
          </w:tcPr>
          <w:p w14:paraId="0C71D058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1、2、3</w:t>
            </w:r>
          </w:p>
        </w:tc>
        <w:tc>
          <w:tcPr>
            <w:tcW w:w="456" w:type="pct"/>
            <w:shd w:val="clear" w:color="000000" w:fill="F9FAFB"/>
            <w:noWrap w:val="0"/>
            <w:vAlign w:val="center"/>
          </w:tcPr>
          <w:p w14:paraId="0C662502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强化林草专业知识传授，强化创新创业能力培养，推进科教融合、产教融合</w:t>
            </w:r>
          </w:p>
        </w:tc>
        <w:tc>
          <w:tcPr>
            <w:tcW w:w="343" w:type="pct"/>
            <w:shd w:val="clear" w:color="000000" w:fill="F9FAFB"/>
            <w:noWrap w:val="0"/>
            <w:vAlign w:val="center"/>
          </w:tcPr>
          <w:p w14:paraId="1F142368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</w:rPr>
              <w:t>重点</w:t>
            </w:r>
          </w:p>
        </w:tc>
      </w:tr>
      <w:tr w14:paraId="78EA0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2" w:type="pct"/>
            <w:shd w:val="clear" w:color="000000" w:fill="F9FAFB"/>
            <w:noWrap w:val="0"/>
            <w:vAlign w:val="center"/>
          </w:tcPr>
          <w:p w14:paraId="040EB300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534" w:type="pct"/>
            <w:shd w:val="clear" w:color="000000" w:fill="F9FAFB"/>
            <w:noWrap w:val="0"/>
            <w:vAlign w:val="center"/>
          </w:tcPr>
          <w:p w14:paraId="134E3331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劳动安全与防护</w:t>
            </w:r>
          </w:p>
        </w:tc>
        <w:tc>
          <w:tcPr>
            <w:tcW w:w="702" w:type="pct"/>
            <w:shd w:val="clear" w:color="000000" w:fill="F9FAFB"/>
            <w:noWrap w:val="0"/>
            <w:vAlign w:val="center"/>
          </w:tcPr>
          <w:p w14:paraId="5E0BD52B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通用劳动安全常识、农林劳动安全规程、劳动纪律与应急处理</w:t>
            </w:r>
          </w:p>
        </w:tc>
        <w:tc>
          <w:tcPr>
            <w:tcW w:w="772" w:type="pct"/>
            <w:shd w:val="clear" w:color="000000" w:fill="F9FAFB"/>
            <w:noWrap w:val="0"/>
            <w:vAlign w:val="center"/>
          </w:tcPr>
          <w:p w14:paraId="67B28784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掌握通用和农林劳动安全知识与规程，遵守劳动纪律，具备应急处理能力</w:t>
            </w:r>
          </w:p>
        </w:tc>
        <w:tc>
          <w:tcPr>
            <w:tcW w:w="900" w:type="pct"/>
            <w:shd w:val="clear" w:color="000000" w:fill="F9FAFB"/>
            <w:noWrap w:val="0"/>
            <w:vAlign w:val="center"/>
          </w:tcPr>
          <w:p w14:paraId="1DDA5418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结合农林实践安全事故案例，强调劳动安全重要性，</w:t>
            </w: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</w:rPr>
              <w:t>培养学生遵守劳动纪律的意识与习惯</w:t>
            </w: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187DA8E2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73C0C931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34" w:type="pct"/>
            <w:shd w:val="clear" w:color="000000" w:fill="F9FAFB"/>
            <w:noWrap w:val="0"/>
            <w:vAlign w:val="center"/>
          </w:tcPr>
          <w:p w14:paraId="22B35620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45" w:type="pct"/>
            <w:shd w:val="clear" w:color="000000" w:fill="F9FAFB"/>
            <w:noWrap w:val="0"/>
            <w:vAlign w:val="center"/>
          </w:tcPr>
          <w:p w14:paraId="7566FE4D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456" w:type="pct"/>
            <w:shd w:val="clear" w:color="000000" w:fill="F9FAFB"/>
            <w:noWrap w:val="0"/>
            <w:vAlign w:val="center"/>
          </w:tcPr>
          <w:p w14:paraId="64014FC8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强化林草专业知识传授</w:t>
            </w:r>
          </w:p>
        </w:tc>
        <w:tc>
          <w:tcPr>
            <w:tcW w:w="343" w:type="pct"/>
            <w:shd w:val="clear" w:color="000000" w:fill="F9FAFB"/>
            <w:noWrap w:val="0"/>
            <w:vAlign w:val="center"/>
          </w:tcPr>
          <w:p w14:paraId="48CD6654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</w:rPr>
              <w:t>一般知识点</w:t>
            </w:r>
          </w:p>
        </w:tc>
      </w:tr>
      <w:tr w14:paraId="23F8E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2" w:type="pct"/>
            <w:shd w:val="clear" w:color="000000" w:fill="F9FAFB"/>
            <w:noWrap w:val="0"/>
            <w:vAlign w:val="center"/>
          </w:tcPr>
          <w:p w14:paraId="66EED87A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534" w:type="pct"/>
            <w:shd w:val="clear" w:color="000000" w:fill="F9FAFB"/>
            <w:noWrap w:val="0"/>
            <w:vAlign w:val="center"/>
          </w:tcPr>
          <w:p w14:paraId="46811787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劳动与社会责任</w:t>
            </w:r>
          </w:p>
        </w:tc>
        <w:tc>
          <w:tcPr>
            <w:tcW w:w="702" w:type="pct"/>
            <w:shd w:val="clear" w:color="000000" w:fill="F9FAFB"/>
            <w:noWrap w:val="0"/>
            <w:vAlign w:val="center"/>
          </w:tcPr>
          <w:p w14:paraId="217AB15C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劳动的个人价值与社会责任、劳动伦理与职业道德、劳动的未来趋势与展望</w:t>
            </w:r>
          </w:p>
        </w:tc>
        <w:tc>
          <w:tcPr>
            <w:tcW w:w="772" w:type="pct"/>
            <w:shd w:val="clear" w:color="000000" w:fill="F9FAFB"/>
            <w:noWrap w:val="0"/>
            <w:vAlign w:val="center"/>
          </w:tcPr>
          <w:p w14:paraId="27101AF7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明确劳动的个人价值和社会责任，遵守劳动伦理和职业道德，了解劳动未来趋势</w:t>
            </w:r>
          </w:p>
        </w:tc>
        <w:tc>
          <w:tcPr>
            <w:tcW w:w="900" w:type="pct"/>
            <w:shd w:val="clear" w:color="000000" w:fill="F9FAFB"/>
            <w:noWrap w:val="0"/>
            <w:vAlign w:val="center"/>
          </w:tcPr>
          <w:p w14:paraId="0093CE27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以北林校友生态扶贫案例，引导学生树立正确劳动价值观；分析劳动未来趋势，培养学生适应未来社会发展的能力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6793F3C2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6E07C1E1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34" w:type="pct"/>
            <w:shd w:val="clear" w:color="000000" w:fill="F9FAFB"/>
            <w:noWrap w:val="0"/>
            <w:vAlign w:val="center"/>
          </w:tcPr>
          <w:p w14:paraId="530CAB94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45" w:type="pct"/>
            <w:shd w:val="clear" w:color="000000" w:fill="F9FAFB"/>
            <w:noWrap w:val="0"/>
            <w:vAlign w:val="center"/>
          </w:tcPr>
          <w:p w14:paraId="2EC32FD9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1、2、3</w:t>
            </w:r>
          </w:p>
        </w:tc>
        <w:tc>
          <w:tcPr>
            <w:tcW w:w="456" w:type="pct"/>
            <w:shd w:val="clear" w:color="000000" w:fill="F9FAFB"/>
            <w:noWrap w:val="0"/>
            <w:vAlign w:val="center"/>
          </w:tcPr>
          <w:p w14:paraId="4E0B66CD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强化生态文明素质教育，推进国际化</w:t>
            </w:r>
          </w:p>
        </w:tc>
        <w:tc>
          <w:tcPr>
            <w:tcW w:w="343" w:type="pct"/>
            <w:shd w:val="clear" w:color="000000" w:fill="F9FAFB"/>
            <w:noWrap w:val="0"/>
            <w:vAlign w:val="center"/>
          </w:tcPr>
          <w:p w14:paraId="43FF4A09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</w:rPr>
              <w:t>一般知识点</w:t>
            </w:r>
          </w:p>
        </w:tc>
      </w:tr>
    </w:tbl>
    <w:p w14:paraId="6D94BE16">
      <w:pPr>
        <w:pStyle w:val="14"/>
        <w:rPr>
          <w:color w:val="auto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720" w:num="1"/>
          <w:docGrid w:type="lines" w:linePitch="312" w:charSpace="0"/>
        </w:sectPr>
      </w:pPr>
    </w:p>
    <w:p w14:paraId="6F6403EE">
      <w:pPr>
        <w:pStyle w:val="14"/>
        <w:rPr>
          <w:color w:val="auto"/>
        </w:rPr>
      </w:pPr>
      <w:r>
        <w:rPr>
          <w:rFonts w:hint="eastAsia"/>
          <w:color w:val="auto"/>
        </w:rPr>
        <w:t xml:space="preserve">四、本课程的考核方式及成绩评定办法                                  </w:t>
      </w:r>
    </w:p>
    <w:p w14:paraId="03884331">
      <w:pPr>
        <w:pStyle w:val="15"/>
        <w:rPr>
          <w:rFonts w:ascii="宋体" w:hAnsi="宋体" w:eastAsia="宋体"/>
          <w:color w:val="auto"/>
        </w:rPr>
      </w:pPr>
      <w:r>
        <w:rPr>
          <w:rFonts w:hint="eastAsia" w:ascii="宋体" w:hAnsi="宋体" w:eastAsia="宋体"/>
          <w:color w:val="auto"/>
        </w:rPr>
        <w:t>（一）考核方式方法</w:t>
      </w:r>
    </w:p>
    <w:p w14:paraId="5FF13E98">
      <w:pPr>
        <w:pStyle w:val="15"/>
        <w:rPr>
          <w:rFonts w:hint="default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</w:rPr>
        <w:t>考核方式采用平时</w:t>
      </w:r>
      <w:r>
        <w:rPr>
          <w:rFonts w:hint="eastAsia" w:ascii="宋体" w:hAnsi="宋体" w:eastAsia="宋体"/>
          <w:color w:val="auto"/>
          <w:lang w:val="en-US" w:eastAsia="zh-CN"/>
        </w:rPr>
        <w:t>课程考勤记录</w:t>
      </w:r>
      <w:r>
        <w:rPr>
          <w:rFonts w:hint="eastAsia" w:ascii="宋体" w:hAnsi="宋体" w:eastAsia="宋体"/>
          <w:color w:val="auto"/>
        </w:rPr>
        <w:t>与期末</w:t>
      </w:r>
      <w:r>
        <w:rPr>
          <w:rFonts w:hint="eastAsia" w:ascii="宋体" w:hAnsi="宋体" w:eastAsia="宋体"/>
          <w:color w:val="auto"/>
          <w:lang w:val="en-US" w:eastAsia="zh-CN"/>
        </w:rPr>
        <w:t>作业</w:t>
      </w:r>
      <w:r>
        <w:rPr>
          <w:rFonts w:hint="eastAsia" w:ascii="宋体" w:hAnsi="宋体" w:eastAsia="宋体"/>
          <w:color w:val="auto"/>
        </w:rPr>
        <w:t>成绩进行评定。平时</w:t>
      </w:r>
      <w:r>
        <w:rPr>
          <w:rFonts w:hint="eastAsia" w:ascii="宋体" w:hAnsi="宋体" w:eastAsia="宋体"/>
          <w:color w:val="auto"/>
          <w:lang w:val="en-US" w:eastAsia="zh-CN"/>
        </w:rPr>
        <w:t>课程考勤签到记录</w:t>
      </w:r>
      <w:r>
        <w:rPr>
          <w:rFonts w:hint="eastAsia" w:ascii="宋体" w:hAnsi="宋体" w:eastAsia="宋体"/>
          <w:color w:val="auto"/>
        </w:rPr>
        <w:t>成绩占</w:t>
      </w:r>
      <w:r>
        <w:rPr>
          <w:rFonts w:hint="eastAsia" w:ascii="宋体" w:hAnsi="宋体" w:eastAsia="宋体"/>
          <w:color w:val="auto"/>
          <w:lang w:val="en-US" w:eastAsia="zh-CN"/>
        </w:rPr>
        <w:t>6</w:t>
      </w:r>
      <w:r>
        <w:rPr>
          <w:rFonts w:hint="eastAsia" w:ascii="宋体" w:hAnsi="宋体" w:eastAsia="宋体"/>
          <w:color w:val="auto"/>
        </w:rPr>
        <w:t>0%，期末</w:t>
      </w:r>
      <w:r>
        <w:rPr>
          <w:rFonts w:hint="eastAsia" w:ascii="宋体" w:hAnsi="宋体" w:eastAsia="宋体"/>
          <w:color w:val="auto"/>
          <w:lang w:val="en-US" w:eastAsia="zh-CN"/>
        </w:rPr>
        <w:t>作业</w:t>
      </w:r>
      <w:r>
        <w:rPr>
          <w:rFonts w:hint="eastAsia" w:ascii="宋体" w:hAnsi="宋体" w:eastAsia="宋体"/>
          <w:color w:val="auto"/>
        </w:rPr>
        <w:t>成绩占</w:t>
      </w:r>
      <w:r>
        <w:rPr>
          <w:rFonts w:hint="eastAsia" w:ascii="宋体" w:hAnsi="宋体" w:eastAsia="宋体"/>
          <w:color w:val="auto"/>
          <w:lang w:val="en-US" w:eastAsia="zh-CN"/>
        </w:rPr>
        <w:t>4</w:t>
      </w:r>
      <w:r>
        <w:rPr>
          <w:rFonts w:hint="eastAsia" w:ascii="宋体" w:hAnsi="宋体" w:eastAsia="宋体"/>
          <w:color w:val="auto"/>
        </w:rPr>
        <w:t>0%。</w:t>
      </w:r>
    </w:p>
    <w:p w14:paraId="00479916">
      <w:pPr>
        <w:pStyle w:val="15"/>
        <w:rPr>
          <w:rFonts w:ascii="宋体" w:hAnsi="宋体" w:eastAsia="宋体"/>
          <w:color w:val="auto"/>
        </w:rPr>
      </w:pPr>
      <w:r>
        <w:rPr>
          <w:rFonts w:hint="eastAsia" w:ascii="宋体" w:hAnsi="宋体" w:eastAsia="宋体"/>
          <w:color w:val="auto"/>
        </w:rPr>
        <w:t>（二）考核内容对课程目标的支持</w:t>
      </w:r>
    </w:p>
    <w:p w14:paraId="51F575D3">
      <w:pPr>
        <w:pStyle w:val="15"/>
        <w:rPr>
          <w:rFonts w:ascii="宋体" w:hAnsi="宋体" w:eastAsia="宋体"/>
          <w:color w:val="auto"/>
        </w:rPr>
      </w:pPr>
      <w:r>
        <w:rPr>
          <w:rFonts w:hint="eastAsia" w:ascii="宋体" w:hAnsi="宋体" w:eastAsia="宋体"/>
          <w:color w:val="auto"/>
        </w:rPr>
        <w:t>各种考核方式与比例关系，考察内容对课程目标与毕业要求的支撑如表</w:t>
      </w:r>
      <w:r>
        <w:rPr>
          <w:rFonts w:hint="eastAsia" w:ascii="宋体" w:hAnsi="宋体" w:eastAsia="宋体"/>
          <w:color w:val="auto"/>
          <w:lang w:val="en-US" w:eastAsia="zh-CN"/>
        </w:rPr>
        <w:t>2</w:t>
      </w:r>
      <w:r>
        <w:rPr>
          <w:rFonts w:hint="eastAsia" w:ascii="宋体" w:hAnsi="宋体" w:eastAsia="宋体"/>
          <w:color w:val="auto"/>
        </w:rPr>
        <w:t>所示。</w:t>
      </w:r>
    </w:p>
    <w:p w14:paraId="45949A42">
      <w:pPr>
        <w:pStyle w:val="16"/>
        <w:spacing w:before="156" w:after="62"/>
        <w:rPr>
          <w:rFonts w:hint="eastAsia" w:ascii="宋体" w:hAnsi="宋体" w:eastAsia="宋体"/>
          <w:color w:val="auto"/>
        </w:rPr>
      </w:pPr>
      <w:r>
        <w:rPr>
          <w:rFonts w:hint="eastAsia" w:ascii="宋体" w:hAnsi="宋体" w:eastAsia="宋体"/>
          <w:color w:val="auto"/>
        </w:rPr>
        <w:t>表2</w:t>
      </w:r>
      <w:r>
        <w:rPr>
          <w:rFonts w:hint="eastAsia" w:ascii="宋体" w:hAnsi="宋体" w:eastAsia="宋体"/>
          <w:color w:val="auto"/>
          <w:lang w:val="en-US" w:eastAsia="zh-CN"/>
        </w:rPr>
        <w:t xml:space="preserve"> </w:t>
      </w:r>
      <w:r>
        <w:rPr>
          <w:rFonts w:hint="eastAsia" w:ascii="宋体" w:hAnsi="宋体" w:eastAsia="宋体"/>
          <w:color w:val="auto"/>
        </w:rPr>
        <w:t>成绩</w:t>
      </w:r>
      <w:r>
        <w:rPr>
          <w:rFonts w:hint="eastAsia" w:ascii="宋体" w:hAnsi="宋体" w:eastAsia="宋体"/>
          <w:color w:val="auto"/>
          <w:lang w:val="en-US" w:eastAsia="zh-CN"/>
        </w:rPr>
        <w:t>评价</w:t>
      </w:r>
      <w:r>
        <w:rPr>
          <w:rFonts w:hint="eastAsia" w:ascii="宋体" w:hAnsi="宋体" w:eastAsia="宋体"/>
          <w:color w:val="auto"/>
        </w:rPr>
        <w:t>标准</w:t>
      </w:r>
    </w:p>
    <w:tbl>
      <w:tblPr>
        <w:tblStyle w:val="6"/>
        <w:tblW w:w="9154" w:type="dxa"/>
        <w:tblInd w:w="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00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1100"/>
        <w:gridCol w:w="1081"/>
        <w:gridCol w:w="908"/>
        <w:gridCol w:w="2539"/>
        <w:gridCol w:w="2760"/>
      </w:tblGrid>
      <w:tr w14:paraId="38EF7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00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4C7502">
            <w:pPr>
              <w:jc w:val="center"/>
              <w:rPr>
                <w:rFonts w:hint="eastAsia" w:ascii="宋体" w:hAnsi="宋体" w:eastAsia="宋体" w:cs="等线 Light"/>
                <w:b/>
                <w:color w:val="auto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等线 Light"/>
                <w:b/>
                <w:color w:val="auto"/>
                <w:sz w:val="20"/>
              </w:rPr>
              <w:t>序号</w:t>
            </w:r>
          </w:p>
        </w:tc>
        <w:tc>
          <w:tcPr>
            <w:tcW w:w="11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DA38A8">
            <w:pPr>
              <w:jc w:val="center"/>
              <w:rPr>
                <w:rFonts w:ascii="宋体" w:hAnsi="宋体" w:eastAsia="宋体" w:cs="等线 Light"/>
                <w:b/>
                <w:color w:val="auto"/>
                <w:sz w:val="20"/>
              </w:rPr>
            </w:pPr>
            <w:r>
              <w:rPr>
                <w:rFonts w:hint="eastAsia" w:ascii="宋体" w:hAnsi="宋体" w:eastAsia="宋体" w:cs="等线 Light"/>
                <w:b/>
                <w:color w:val="auto"/>
                <w:sz w:val="20"/>
              </w:rPr>
              <w:t>考核</w:t>
            </w:r>
          </w:p>
          <w:p w14:paraId="16A9B89A">
            <w:pPr>
              <w:jc w:val="center"/>
              <w:rPr>
                <w:rFonts w:hint="eastAsia" w:ascii="宋体" w:hAnsi="宋体" w:eastAsia="宋体" w:cs="等线 Light"/>
                <w:b/>
                <w:color w:val="auto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等线 Light"/>
                <w:b/>
                <w:color w:val="auto"/>
                <w:sz w:val="20"/>
              </w:rPr>
              <w:t>内容</w:t>
            </w:r>
          </w:p>
        </w:tc>
        <w:tc>
          <w:tcPr>
            <w:tcW w:w="10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585169">
            <w:pPr>
              <w:jc w:val="center"/>
              <w:rPr>
                <w:rFonts w:hint="eastAsia" w:ascii="宋体" w:hAnsi="宋体" w:eastAsia="宋体" w:cs="等线 Light"/>
                <w:b/>
                <w:color w:val="auto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等线 Light"/>
                <w:b/>
                <w:color w:val="auto"/>
                <w:sz w:val="20"/>
              </w:rPr>
              <w:t>成绩各项占比</w:t>
            </w:r>
          </w:p>
        </w:tc>
        <w:tc>
          <w:tcPr>
            <w:tcW w:w="9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1C7D9D">
            <w:pPr>
              <w:jc w:val="center"/>
              <w:rPr>
                <w:rFonts w:ascii="宋体" w:hAnsi="宋体" w:eastAsia="宋体" w:cs="等线 Light"/>
                <w:b/>
                <w:color w:val="auto"/>
                <w:sz w:val="20"/>
              </w:rPr>
            </w:pPr>
            <w:r>
              <w:rPr>
                <w:rFonts w:hint="eastAsia" w:ascii="宋体" w:hAnsi="宋体" w:eastAsia="宋体" w:cs="等线 Light"/>
                <w:b/>
                <w:color w:val="auto"/>
                <w:sz w:val="20"/>
              </w:rPr>
              <w:t>课程</w:t>
            </w:r>
          </w:p>
          <w:p w14:paraId="099DC637">
            <w:pPr>
              <w:jc w:val="center"/>
              <w:rPr>
                <w:rFonts w:hint="eastAsia" w:ascii="宋体" w:hAnsi="宋体" w:eastAsia="宋体" w:cs="等线 Light"/>
                <w:b/>
                <w:color w:val="auto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等线 Light"/>
                <w:b/>
                <w:color w:val="auto"/>
                <w:sz w:val="20"/>
              </w:rPr>
              <w:t>目标</w:t>
            </w:r>
          </w:p>
        </w:tc>
        <w:tc>
          <w:tcPr>
            <w:tcW w:w="52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4847AB">
            <w:pPr>
              <w:jc w:val="center"/>
              <w:rPr>
                <w:rFonts w:hint="eastAsia" w:ascii="宋体" w:hAnsi="宋体" w:eastAsia="宋体" w:cs="等线 Light"/>
                <w:color w:val="auto"/>
                <w:sz w:val="20"/>
              </w:rPr>
            </w:pPr>
            <w:r>
              <w:rPr>
                <w:rFonts w:hint="eastAsia" w:ascii="宋体" w:hAnsi="宋体" w:eastAsia="宋体" w:cs="等线 Light"/>
                <w:b/>
                <w:color w:val="auto"/>
                <w:sz w:val="20"/>
                <w:lang w:val="en-US" w:eastAsia="zh-CN"/>
              </w:rPr>
              <w:t>评价</w:t>
            </w:r>
            <w:r>
              <w:rPr>
                <w:rFonts w:hint="eastAsia" w:ascii="宋体" w:hAnsi="宋体" w:eastAsia="宋体" w:cs="等线 Light"/>
                <w:b/>
                <w:color w:val="auto"/>
                <w:sz w:val="20"/>
              </w:rPr>
              <w:t>标准</w:t>
            </w:r>
          </w:p>
        </w:tc>
      </w:tr>
      <w:tr w14:paraId="4DF3D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463FC6">
            <w:pPr>
              <w:jc w:val="center"/>
              <w:rPr>
                <w:rFonts w:hint="eastAsia" w:ascii="宋体" w:hAnsi="宋体" w:eastAsia="宋体" w:cs="等线 Light"/>
                <w:color w:val="auto"/>
                <w:sz w:val="20"/>
              </w:rPr>
            </w:pPr>
          </w:p>
        </w:tc>
        <w:tc>
          <w:tcPr>
            <w:tcW w:w="11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A9C674">
            <w:pPr>
              <w:jc w:val="center"/>
              <w:rPr>
                <w:rFonts w:hint="eastAsia" w:ascii="宋体" w:hAnsi="宋体" w:eastAsia="宋体" w:cs="等线 Light"/>
                <w:color w:val="auto"/>
                <w:sz w:val="20"/>
              </w:rPr>
            </w:pPr>
          </w:p>
        </w:tc>
        <w:tc>
          <w:tcPr>
            <w:tcW w:w="10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6C5B68">
            <w:pPr>
              <w:jc w:val="center"/>
              <w:rPr>
                <w:rFonts w:hint="eastAsia" w:ascii="宋体" w:hAnsi="宋体" w:eastAsia="宋体" w:cs="等线 Light"/>
                <w:color w:val="auto"/>
                <w:sz w:val="20"/>
                <w:lang w:val="en-US" w:eastAsia="zh-CN"/>
              </w:rPr>
            </w:pPr>
          </w:p>
        </w:tc>
        <w:tc>
          <w:tcPr>
            <w:tcW w:w="9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2F7060">
            <w:pPr>
              <w:jc w:val="center"/>
              <w:rPr>
                <w:rFonts w:hint="eastAsia" w:ascii="宋体" w:hAnsi="宋体" w:eastAsia="宋体" w:cs="等线 Light"/>
                <w:color w:val="auto"/>
                <w:sz w:val="20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D5B523">
            <w:pPr>
              <w:jc w:val="center"/>
              <w:rPr>
                <w:rFonts w:ascii="宋体" w:hAnsi="宋体" w:eastAsia="宋体" w:cs="等线 Light"/>
                <w:color w:val="auto"/>
                <w:sz w:val="20"/>
              </w:rPr>
            </w:pPr>
            <w:r>
              <w:rPr>
                <w:rFonts w:hint="eastAsia" w:ascii="宋体" w:hAnsi="宋体" w:eastAsia="宋体" w:cs="等线 Light"/>
                <w:color w:val="auto"/>
                <w:sz w:val="20"/>
              </w:rPr>
              <w:t>合格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3FF617">
            <w:pPr>
              <w:jc w:val="center"/>
              <w:rPr>
                <w:rFonts w:hint="eastAsia" w:ascii="宋体" w:hAnsi="宋体" w:eastAsia="宋体" w:cs="等线 Light"/>
                <w:color w:val="auto"/>
                <w:sz w:val="20"/>
              </w:rPr>
            </w:pPr>
            <w:r>
              <w:rPr>
                <w:rFonts w:hint="eastAsia" w:ascii="宋体" w:hAnsi="宋体" w:eastAsia="宋体" w:cs="等线 Light"/>
                <w:color w:val="auto"/>
                <w:sz w:val="20"/>
              </w:rPr>
              <w:t>不合格</w:t>
            </w:r>
          </w:p>
        </w:tc>
      </w:tr>
      <w:tr w14:paraId="55ADD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00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100C74">
            <w:pPr>
              <w:jc w:val="center"/>
              <w:rPr>
                <w:rFonts w:hint="eastAsia" w:ascii="宋体" w:hAnsi="宋体" w:eastAsia="宋体" w:cs="等线 Light"/>
                <w:color w:val="auto"/>
                <w:sz w:val="20"/>
              </w:rPr>
            </w:pPr>
            <w:r>
              <w:rPr>
                <w:rFonts w:hint="eastAsia" w:ascii="宋体" w:hAnsi="宋体" w:eastAsia="宋体" w:cs="等线 Light"/>
                <w:color w:val="auto"/>
                <w:sz w:val="20"/>
              </w:rPr>
              <w:t>1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6C57C9">
            <w:pPr>
              <w:jc w:val="center"/>
              <w:rPr>
                <w:rFonts w:hint="eastAsia" w:ascii="宋体" w:hAnsi="宋体" w:eastAsia="宋体" w:cs="等线 Light"/>
                <w:color w:val="auto"/>
                <w:sz w:val="20"/>
                <w:lang w:eastAsia="zh-CN"/>
              </w:rPr>
            </w:pPr>
            <w:r>
              <w:rPr>
                <w:rFonts w:hint="eastAsia" w:ascii="宋体" w:hAnsi="宋体" w:eastAsia="宋体" w:cs="等线 Light"/>
                <w:color w:val="auto"/>
                <w:sz w:val="20"/>
                <w:lang w:val="en-US" w:eastAsia="zh-CN"/>
              </w:rPr>
              <w:t>结课论文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6EAA01">
            <w:pPr>
              <w:jc w:val="center"/>
              <w:rPr>
                <w:rFonts w:ascii="宋体" w:hAnsi="宋体" w:eastAsia="宋体" w:cs="等线 Light"/>
                <w:color w:val="auto"/>
                <w:sz w:val="20"/>
              </w:rPr>
            </w:pPr>
            <w:r>
              <w:rPr>
                <w:rFonts w:hint="eastAsia" w:ascii="宋体" w:hAnsi="宋体" w:eastAsia="宋体" w:cs="等线 Light"/>
                <w:color w:val="auto"/>
                <w:sz w:val="20"/>
                <w:lang w:val="en-US" w:eastAsia="zh-CN"/>
              </w:rPr>
              <w:t>4</w:t>
            </w:r>
            <w:r>
              <w:rPr>
                <w:rFonts w:ascii="宋体" w:hAnsi="宋体" w:eastAsia="宋体" w:cs="等线 Light"/>
                <w:color w:val="auto"/>
                <w:sz w:val="20"/>
              </w:rPr>
              <w:t>0</w:t>
            </w:r>
            <w:r>
              <w:rPr>
                <w:rFonts w:hint="eastAsia" w:ascii="宋体" w:hAnsi="宋体" w:eastAsia="宋体" w:cs="等线 Light"/>
                <w:color w:val="auto"/>
                <w:sz w:val="20"/>
              </w:rPr>
              <w:t>%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7B2456">
            <w:pPr>
              <w:jc w:val="center"/>
              <w:rPr>
                <w:rFonts w:ascii="宋体" w:hAnsi="宋体" w:eastAsia="宋体" w:cs="等线 Light"/>
                <w:color w:val="auto"/>
                <w:sz w:val="20"/>
              </w:rPr>
            </w:pPr>
            <w:r>
              <w:rPr>
                <w:rFonts w:hint="eastAsia" w:ascii="宋体" w:hAnsi="宋体" w:eastAsia="宋体" w:cs="等线 Light"/>
                <w:color w:val="auto"/>
                <w:sz w:val="20"/>
              </w:rPr>
              <w:t>1，2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E8AD83">
            <w:pPr>
              <w:jc w:val="center"/>
              <w:rPr>
                <w:rFonts w:hint="eastAsia" w:ascii="宋体" w:hAnsi="宋体" w:eastAsia="宋体" w:cs="等线 Light"/>
                <w:color w:val="auto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等线 Light"/>
                <w:color w:val="auto"/>
                <w:sz w:val="20"/>
                <w:lang w:val="en-US" w:eastAsia="zh-CN"/>
              </w:rPr>
              <w:t>论文</w:t>
            </w:r>
            <w:r>
              <w:rPr>
                <w:rFonts w:ascii="宋体" w:hAnsi="宋体" w:eastAsia="宋体" w:cs="等线 Light"/>
                <w:color w:val="auto"/>
                <w:sz w:val="20"/>
              </w:rPr>
              <w:t>内容完整，对知识点理解准确，分析合理</w:t>
            </w:r>
            <w:r>
              <w:rPr>
                <w:rFonts w:hint="eastAsia" w:ascii="宋体" w:hAnsi="宋体" w:eastAsia="宋体" w:cs="等线 Light"/>
                <w:color w:val="auto"/>
                <w:sz w:val="20"/>
              </w:rPr>
              <w:t>。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FCAC1D">
            <w:pPr>
              <w:jc w:val="center"/>
              <w:rPr>
                <w:rFonts w:ascii="宋体" w:hAnsi="宋体" w:eastAsia="宋体" w:cs="等线 Light"/>
                <w:color w:val="auto"/>
                <w:sz w:val="20"/>
              </w:rPr>
            </w:pPr>
            <w:r>
              <w:rPr>
                <w:rFonts w:hint="eastAsia" w:ascii="宋体" w:hAnsi="宋体" w:eastAsia="宋体" w:cs="等线 Light"/>
                <w:color w:val="auto"/>
                <w:sz w:val="20"/>
                <w:lang w:val="en-US" w:eastAsia="zh-CN"/>
              </w:rPr>
              <w:t>论文</w:t>
            </w:r>
            <w:r>
              <w:rPr>
                <w:rFonts w:hint="eastAsia" w:ascii="宋体" w:hAnsi="宋体" w:eastAsia="宋体" w:cs="等线 Light"/>
                <w:color w:val="auto"/>
                <w:sz w:val="20"/>
              </w:rPr>
              <w:t>存在较多错误且分析不深入</w:t>
            </w:r>
            <w:r>
              <w:rPr>
                <w:rFonts w:hint="eastAsia" w:ascii="宋体" w:hAnsi="宋体" w:eastAsia="宋体" w:cs="等线 Light"/>
                <w:color w:val="auto"/>
                <w:sz w:val="20"/>
                <w:lang w:eastAsia="zh-CN"/>
              </w:rPr>
              <w:t>，</w:t>
            </w:r>
            <w:r>
              <w:rPr>
                <w:rFonts w:hint="eastAsia" w:ascii="宋体" w:hAnsi="宋体" w:eastAsia="宋体" w:cs="等线 Light"/>
                <w:color w:val="auto"/>
                <w:sz w:val="20"/>
                <w:lang w:val="en-US" w:eastAsia="zh-CN"/>
              </w:rPr>
              <w:t>未按时</w:t>
            </w:r>
            <w:r>
              <w:rPr>
                <w:rFonts w:hint="eastAsia" w:ascii="宋体" w:hAnsi="宋体" w:eastAsia="宋体" w:cs="等线 Light"/>
                <w:color w:val="auto"/>
                <w:sz w:val="20"/>
              </w:rPr>
              <w:t>提交</w:t>
            </w:r>
            <w:r>
              <w:rPr>
                <w:rFonts w:hint="eastAsia" w:ascii="宋体" w:hAnsi="宋体" w:eastAsia="宋体" w:cs="等线 Light"/>
                <w:color w:val="auto"/>
                <w:sz w:val="20"/>
                <w:lang w:val="en-US" w:eastAsia="zh-CN"/>
              </w:rPr>
              <w:t>结课论文</w:t>
            </w:r>
            <w:r>
              <w:rPr>
                <w:rFonts w:hint="eastAsia" w:ascii="宋体" w:hAnsi="宋体" w:eastAsia="宋体" w:cs="等线 Light"/>
                <w:color w:val="auto"/>
                <w:sz w:val="20"/>
              </w:rPr>
              <w:t>。</w:t>
            </w:r>
          </w:p>
        </w:tc>
      </w:tr>
      <w:tr w14:paraId="1F63B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08E980">
            <w:pPr>
              <w:jc w:val="center"/>
              <w:rPr>
                <w:rFonts w:ascii="宋体" w:hAnsi="宋体" w:eastAsia="宋体" w:cs="等线 Light"/>
                <w:color w:val="auto"/>
                <w:sz w:val="20"/>
              </w:rPr>
            </w:pPr>
            <w:r>
              <w:rPr>
                <w:rFonts w:hint="eastAsia" w:ascii="宋体" w:hAnsi="宋体" w:eastAsia="宋体" w:cs="等线 Light"/>
                <w:color w:val="auto"/>
                <w:sz w:val="20"/>
              </w:rPr>
              <w:t>2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6281C6">
            <w:pPr>
              <w:jc w:val="center"/>
              <w:rPr>
                <w:rFonts w:hint="default" w:ascii="宋体" w:hAnsi="宋体" w:eastAsia="宋体" w:cs="等线 Light"/>
                <w:color w:val="auto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等线 Light"/>
                <w:color w:val="auto"/>
                <w:sz w:val="20"/>
                <w:lang w:val="en-US" w:eastAsia="zh-CN"/>
              </w:rPr>
              <w:t>课堂考勤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540127">
            <w:pPr>
              <w:jc w:val="center"/>
              <w:rPr>
                <w:rFonts w:ascii="宋体" w:hAnsi="宋体" w:eastAsia="宋体" w:cs="等线 Light"/>
                <w:color w:val="auto"/>
                <w:sz w:val="20"/>
              </w:rPr>
            </w:pPr>
            <w:r>
              <w:rPr>
                <w:rFonts w:hint="eastAsia" w:ascii="宋体" w:hAnsi="宋体" w:eastAsia="宋体" w:cs="等线 Light"/>
                <w:color w:val="auto"/>
                <w:sz w:val="20"/>
                <w:lang w:val="en-US" w:eastAsia="zh-CN"/>
              </w:rPr>
              <w:t>6</w:t>
            </w:r>
            <w:r>
              <w:rPr>
                <w:rFonts w:ascii="宋体" w:hAnsi="宋体" w:eastAsia="宋体" w:cs="等线 Light"/>
                <w:color w:val="auto"/>
                <w:sz w:val="20"/>
              </w:rPr>
              <w:t>0</w:t>
            </w:r>
            <w:r>
              <w:rPr>
                <w:rFonts w:hint="eastAsia" w:ascii="宋体" w:hAnsi="宋体" w:eastAsia="宋体" w:cs="等线 Light"/>
                <w:color w:val="auto"/>
                <w:sz w:val="20"/>
              </w:rPr>
              <w:t>%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631D1E">
            <w:pPr>
              <w:jc w:val="center"/>
              <w:rPr>
                <w:rFonts w:hint="eastAsia" w:ascii="宋体" w:hAnsi="宋体" w:eastAsia="宋体" w:cs="等线 Light"/>
                <w:color w:val="auto"/>
                <w:sz w:val="20"/>
              </w:rPr>
            </w:pPr>
            <w:r>
              <w:rPr>
                <w:rFonts w:ascii="宋体" w:hAnsi="宋体" w:eastAsia="宋体" w:cs="等线 Light"/>
                <w:color w:val="auto"/>
                <w:sz w:val="20"/>
              </w:rPr>
              <w:t>1, 2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B7B1E4">
            <w:pPr>
              <w:jc w:val="center"/>
              <w:rPr>
                <w:rFonts w:hint="default" w:ascii="宋体" w:hAnsi="宋体" w:eastAsia="宋体" w:cs="等线 Light"/>
                <w:color w:val="auto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等线 Light"/>
                <w:color w:val="auto"/>
                <w:sz w:val="20"/>
              </w:rPr>
              <w:t>全勤</w:t>
            </w:r>
            <w:r>
              <w:rPr>
                <w:rFonts w:hint="eastAsia" w:ascii="宋体" w:hAnsi="宋体" w:eastAsia="宋体" w:cs="等线 Light"/>
                <w:color w:val="auto"/>
                <w:sz w:val="20"/>
                <w:lang w:val="en-US" w:eastAsia="zh-CN"/>
              </w:rPr>
              <w:t>观看课程视频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A11727">
            <w:pPr>
              <w:jc w:val="center"/>
              <w:rPr>
                <w:rFonts w:hint="default" w:ascii="宋体" w:hAnsi="宋体" w:eastAsia="宋体" w:cs="等线 Light"/>
                <w:color w:val="auto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等线 Light"/>
                <w:color w:val="auto"/>
                <w:sz w:val="20"/>
                <w:lang w:val="en-US" w:eastAsia="zh-CN"/>
              </w:rPr>
              <w:t>未全勤观看完所有课程视频</w:t>
            </w:r>
          </w:p>
        </w:tc>
      </w:tr>
    </w:tbl>
    <w:p w14:paraId="59ACB616">
      <w:pPr>
        <w:pStyle w:val="15"/>
        <w:rPr>
          <w:rFonts w:hint="default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</w:rPr>
        <w:t>（</w:t>
      </w:r>
      <w:r>
        <w:rPr>
          <w:rFonts w:hint="eastAsia" w:ascii="宋体" w:hAnsi="宋体" w:eastAsia="宋体"/>
          <w:color w:val="auto"/>
          <w:lang w:val="en-US" w:eastAsia="zh-CN"/>
        </w:rPr>
        <w:t>三</w:t>
      </w:r>
      <w:r>
        <w:rPr>
          <w:rFonts w:hint="eastAsia" w:ascii="宋体" w:hAnsi="宋体" w:eastAsia="宋体"/>
          <w:color w:val="auto"/>
        </w:rPr>
        <w:t>）考核</w:t>
      </w:r>
      <w:r>
        <w:rPr>
          <w:rFonts w:hint="eastAsia" w:ascii="宋体" w:hAnsi="宋体" w:eastAsia="宋体"/>
          <w:color w:val="auto"/>
          <w:lang w:val="en-US" w:eastAsia="zh-CN"/>
        </w:rPr>
        <w:t>结果认定方式</w:t>
      </w:r>
    </w:p>
    <w:p w14:paraId="6F46628A">
      <w:pPr>
        <w:pStyle w:val="15"/>
        <w:rPr>
          <w:rFonts w:hint="eastAsia" w:ascii="宋体" w:hAnsi="宋体" w:eastAsia="宋体"/>
          <w:color w:val="auto"/>
        </w:rPr>
      </w:pPr>
      <w:r>
        <w:rPr>
          <w:rFonts w:hint="eastAsia" w:ascii="宋体" w:hAnsi="宋体" w:eastAsia="宋体"/>
          <w:color w:val="auto"/>
          <w:lang w:val="en-US" w:eastAsia="zh-CN"/>
        </w:rPr>
        <w:t>最终成绩按照二级制（合格/不合格）录入教务系统。</w:t>
      </w:r>
    </w:p>
    <w:p w14:paraId="7BDF7495">
      <w:pPr>
        <w:pStyle w:val="14"/>
        <w:rPr>
          <w:color w:val="auto"/>
        </w:rPr>
      </w:pPr>
      <w:r>
        <w:rPr>
          <w:rFonts w:hint="eastAsia"/>
          <w:color w:val="auto"/>
        </w:rPr>
        <w:t xml:space="preserve">五、本课程与其它课程的联系和分工                       </w:t>
      </w:r>
    </w:p>
    <w:p w14:paraId="0E84AFB0">
      <w:pPr>
        <w:pStyle w:val="15"/>
        <w:rPr>
          <w:rFonts w:hint="eastAsia" w:ascii="宋体" w:hAnsi="宋体" w:eastAsia="宋体"/>
          <w:color w:val="auto"/>
          <w:lang w:eastAsia="zh-CN"/>
        </w:rPr>
      </w:pPr>
      <w:r>
        <w:rPr>
          <w:rFonts w:hint="eastAsia" w:ascii="宋体" w:hAnsi="宋体" w:eastAsia="宋体"/>
          <w:color w:val="auto"/>
        </w:rPr>
        <w:t>本课程无先修课程</w:t>
      </w:r>
      <w:r>
        <w:rPr>
          <w:rFonts w:hint="eastAsia" w:ascii="宋体" w:hAnsi="宋体" w:eastAsia="宋体"/>
          <w:color w:val="auto"/>
          <w:lang w:eastAsia="zh-CN"/>
        </w:rPr>
        <w:t>；</w:t>
      </w:r>
    </w:p>
    <w:p w14:paraId="0C10BD4A">
      <w:pPr>
        <w:pStyle w:val="15"/>
        <w:rPr>
          <w:rFonts w:hint="default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</w:rPr>
        <w:t>本课程的后续课程为：</w:t>
      </w:r>
      <w:r>
        <w:rPr>
          <w:rFonts w:hint="eastAsia" w:ascii="宋体" w:hAnsi="宋体" w:eastAsia="宋体"/>
          <w:color w:val="auto"/>
          <w:lang w:val="en-US" w:eastAsia="zh-CN"/>
        </w:rPr>
        <w:t>学校和各学院开展的劳动教育实践活动</w:t>
      </w:r>
    </w:p>
    <w:p w14:paraId="1E86D0F7">
      <w:pPr>
        <w:pStyle w:val="14"/>
        <w:numPr>
          <w:ilvl w:val="0"/>
          <w:numId w:val="1"/>
        </w:numPr>
        <w:rPr>
          <w:rFonts w:hint="default"/>
          <w:color w:val="auto"/>
          <w:lang w:val="en-US"/>
        </w:rPr>
      </w:pPr>
      <w:r>
        <w:rPr>
          <w:rFonts w:hint="eastAsia"/>
          <w:color w:val="auto"/>
          <w:lang w:val="en-US" w:eastAsia="zh-CN"/>
        </w:rPr>
        <w:t>学习方式与学习要求</w:t>
      </w:r>
    </w:p>
    <w:p w14:paraId="230F4AD9">
      <w:pPr>
        <w:pStyle w:val="15"/>
        <w:numPr>
          <w:ilvl w:val="0"/>
          <w:numId w:val="0"/>
        </w:numPr>
        <w:ind w:left="0" w:leftChars="0" w:firstLine="420" w:firstLineChars="200"/>
        <w:rPr>
          <w:rFonts w:hint="eastAsia" w:ascii="宋体" w:hAnsi="宋体" w:eastAsia="宋体"/>
          <w:color w:val="auto"/>
          <w:lang w:eastAsia="zh-CN"/>
        </w:rPr>
      </w:pPr>
      <w:r>
        <w:rPr>
          <w:rFonts w:hint="eastAsia" w:ascii="宋体" w:hAnsi="宋体" w:eastAsia="宋体" w:cs="华文楷体"/>
          <w:color w:val="auto"/>
          <w:kern w:val="2"/>
          <w:sz w:val="21"/>
          <w:szCs w:val="21"/>
          <w:lang w:val="en-US" w:eastAsia="zh-CN" w:bidi="ar-SA"/>
        </w:rPr>
        <w:t>1.</w:t>
      </w:r>
      <w:r>
        <w:rPr>
          <w:rFonts w:hint="eastAsia" w:ascii="宋体" w:hAnsi="宋体" w:eastAsia="宋体"/>
          <w:color w:val="auto"/>
          <w:lang w:val="en-US" w:eastAsia="zh-CN"/>
        </w:rPr>
        <w:t>参考</w:t>
      </w:r>
      <w:r>
        <w:rPr>
          <w:rFonts w:hint="eastAsia" w:ascii="宋体" w:hAnsi="宋体" w:eastAsia="宋体"/>
          <w:color w:val="auto"/>
        </w:rPr>
        <w:t>教材</w:t>
      </w:r>
      <w:r>
        <w:rPr>
          <w:rFonts w:hint="eastAsia" w:ascii="宋体" w:hAnsi="宋体" w:eastAsia="宋体"/>
          <w:color w:val="auto"/>
          <w:lang w:eastAsia="zh-CN"/>
        </w:rPr>
        <w:t>（</w:t>
      </w:r>
      <w:r>
        <w:rPr>
          <w:rFonts w:hint="eastAsia" w:ascii="宋体" w:hAnsi="宋体" w:eastAsia="宋体"/>
          <w:color w:val="auto"/>
          <w:lang w:val="en-US" w:eastAsia="zh-CN"/>
        </w:rPr>
        <w:t>自行购买</w:t>
      </w:r>
      <w:r>
        <w:rPr>
          <w:rFonts w:hint="eastAsia" w:ascii="宋体" w:hAnsi="宋体" w:eastAsia="宋体"/>
          <w:color w:val="auto"/>
          <w:lang w:eastAsia="zh-CN"/>
        </w:rPr>
        <w:t>）：</w:t>
      </w:r>
      <w:r>
        <w:rPr>
          <w:rFonts w:hint="eastAsia" w:ascii="宋体" w:hAnsi="宋体" w:eastAsia="宋体"/>
          <w:color w:val="auto"/>
        </w:rPr>
        <w:t>《大学生劳动教育通识》，刘向兵著，高等教育出版社，2022，ISBN号978-7-04-059381-5</w:t>
      </w:r>
      <w:r>
        <w:rPr>
          <w:rFonts w:hint="eastAsia" w:ascii="宋体" w:hAnsi="宋体" w:eastAsia="宋体"/>
          <w:color w:val="auto"/>
          <w:lang w:eastAsia="zh-CN"/>
        </w:rPr>
        <w:t>；</w:t>
      </w:r>
      <w:r>
        <w:rPr>
          <w:rFonts w:hint="eastAsia" w:ascii="宋体" w:hAnsi="宋体" w:eastAsia="宋体"/>
          <w:color w:val="auto"/>
        </w:rPr>
        <w:t>《耕读劳动——新时代劳动教育概论》，巫建华、曲霞著，中国农业出版社，2021，ISBN号978-7-10-928540-8</w:t>
      </w:r>
      <w:r>
        <w:rPr>
          <w:rFonts w:hint="eastAsia" w:ascii="宋体" w:hAnsi="宋体" w:eastAsia="宋体"/>
          <w:color w:val="auto"/>
          <w:lang w:eastAsia="zh-CN"/>
        </w:rPr>
        <w:t>。</w:t>
      </w:r>
    </w:p>
    <w:p w14:paraId="07B5AD58">
      <w:pPr>
        <w:pStyle w:val="15"/>
        <w:ind w:left="0" w:leftChars="0" w:firstLine="420" w:firstLineChars="200"/>
        <w:rPr>
          <w:rFonts w:hint="eastAsia" w:ascii="宋体" w:hAnsi="宋体" w:eastAsia="宋体"/>
          <w:color w:val="auto"/>
        </w:rPr>
      </w:pPr>
      <w:r>
        <w:rPr>
          <w:rFonts w:hint="eastAsia" w:ascii="宋体" w:hAnsi="宋体" w:eastAsia="宋体"/>
          <w:color w:val="auto"/>
          <w:lang w:val="en-US" w:eastAsia="zh-CN"/>
        </w:rPr>
        <w:t>2.</w:t>
      </w:r>
      <w:r>
        <w:rPr>
          <w:rFonts w:hint="eastAsia" w:ascii="宋体" w:hAnsi="宋体" w:eastAsia="宋体"/>
          <w:color w:val="auto"/>
        </w:rPr>
        <w:t>学习平台</w:t>
      </w:r>
      <w:r>
        <w:rPr>
          <w:rFonts w:hint="eastAsia" w:ascii="宋体" w:hAnsi="宋体" w:eastAsia="宋体"/>
          <w:color w:val="auto"/>
          <w:lang w:eastAsia="zh-CN"/>
        </w:rPr>
        <w:t>：</w:t>
      </w:r>
      <w:r>
        <w:rPr>
          <w:rFonts w:hint="eastAsia" w:ascii="宋体" w:hAnsi="宋体" w:eastAsia="宋体"/>
          <w:color w:val="auto"/>
        </w:rPr>
        <w:t>北京林业大学智慧录播平台，点击“录播课堂”→“精品视频”进行学习。</w:t>
      </w:r>
    </w:p>
    <w:p w14:paraId="653DE580">
      <w:pPr>
        <w:pStyle w:val="15"/>
        <w:ind w:left="0" w:leftChars="0" w:firstLine="420" w:firstLineChars="200"/>
        <w:rPr>
          <w:color w:val="auto"/>
        </w:rPr>
      </w:pPr>
      <w:r>
        <w:rPr>
          <w:rFonts w:hint="eastAsia" w:ascii="宋体" w:hAnsi="宋体" w:eastAsia="宋体"/>
          <w:color w:val="auto"/>
          <w:lang w:val="en-US" w:eastAsia="zh-CN"/>
        </w:rPr>
        <w:t>3.</w:t>
      </w:r>
      <w:r>
        <w:rPr>
          <w:rFonts w:hint="eastAsia" w:ascii="宋体" w:hAnsi="宋体" w:eastAsia="宋体"/>
          <w:color w:val="auto"/>
        </w:rPr>
        <w:t>学习要求</w:t>
      </w:r>
      <w:r>
        <w:rPr>
          <w:rFonts w:hint="eastAsia" w:ascii="宋体" w:hAnsi="宋体" w:eastAsia="宋体"/>
          <w:color w:val="auto"/>
          <w:lang w:eastAsia="zh-CN"/>
        </w:rPr>
        <w:t>：</w:t>
      </w:r>
      <w:r>
        <w:rPr>
          <w:rFonts w:hint="eastAsia" w:ascii="宋体" w:hAnsi="宋体" w:eastAsia="宋体"/>
          <w:color w:val="auto"/>
          <w:lang w:val="en-US" w:eastAsia="zh-CN"/>
        </w:rPr>
        <w:t xml:space="preserve">完成全部10讲视频学习，可在智慧录播平台“个人主页→“历史记录”查看每节观看进度，系统自动记录学习时长与进度，未完成者以旷课处理。  </w:t>
      </w:r>
      <w:r>
        <w:rPr>
          <w:rFonts w:hint="eastAsia" w:ascii="宋体" w:hAnsi="宋体" w:eastAsia="宋体"/>
          <w:color w:val="auto"/>
        </w:rPr>
        <w:t xml:space="preserve"> </w:t>
      </w:r>
      <w:r>
        <w:rPr>
          <w:rFonts w:hint="eastAsia"/>
          <w:color w:val="auto"/>
        </w:rPr>
        <w:t xml:space="preserve"> </w:t>
      </w:r>
    </w:p>
    <w:p w14:paraId="654EDA27">
      <w:pPr>
        <w:pStyle w:val="15"/>
        <w:numPr>
          <w:ilvl w:val="0"/>
          <w:numId w:val="2"/>
        </w:numPr>
        <w:ind w:left="0" w:leftChars="0" w:firstLine="0" w:firstLineChars="0"/>
        <w:rPr>
          <w:rFonts w:hint="eastAsia" w:ascii="华文新魏" w:hAnsi="等线 Light" w:eastAsia="华文新魏" w:cs="华文楷体"/>
          <w:color w:val="auto"/>
          <w:kern w:val="2"/>
          <w:sz w:val="24"/>
          <w:szCs w:val="21"/>
          <w:lang w:val="en-US" w:eastAsia="zh-CN" w:bidi="ar-SA"/>
        </w:rPr>
      </w:pPr>
      <w:r>
        <w:rPr>
          <w:rFonts w:hint="eastAsia" w:ascii="华文新魏" w:hAnsi="等线 Light" w:eastAsia="华文新魏" w:cs="华文楷体"/>
          <w:color w:val="auto"/>
          <w:kern w:val="2"/>
          <w:sz w:val="24"/>
          <w:szCs w:val="21"/>
          <w:lang w:val="en-US" w:eastAsia="zh-CN" w:bidi="ar-SA"/>
        </w:rPr>
        <w:t>结课论文提交要求</w:t>
      </w:r>
    </w:p>
    <w:p w14:paraId="7C23ED44">
      <w:pPr>
        <w:pStyle w:val="15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按照附件《新时代大学生劳动教育结课论文要求》 按时提交结课论文。</w:t>
      </w:r>
    </w:p>
    <w:p w14:paraId="70A8C567">
      <w:pPr>
        <w:pStyle w:val="15"/>
        <w:ind w:left="0" w:leftChars="0" w:firstLine="0" w:firstLineChars="0"/>
        <w:rPr>
          <w:rFonts w:hint="eastAsia" w:ascii="宋体" w:hAnsi="宋体" w:eastAsia="宋体"/>
          <w:color w:val="auto"/>
          <w:lang w:val="en-US" w:eastAsia="zh-CN"/>
        </w:rPr>
      </w:pPr>
    </w:p>
    <w:p w14:paraId="53743F4B">
      <w:pPr>
        <w:pStyle w:val="15"/>
        <w:rPr>
          <w:rFonts w:hint="eastAsia" w:ascii="宋体" w:hAnsi="宋体" w:eastAsia="宋体"/>
          <w:color w:val="auto"/>
          <w:lang w:val="en-US" w:eastAsia="zh-CN"/>
        </w:rPr>
      </w:pPr>
    </w:p>
    <w:p w14:paraId="6E5AEC45">
      <w:pPr>
        <w:pStyle w:val="15"/>
        <w:rPr>
          <w:rFonts w:hint="eastAsia" w:ascii="宋体" w:hAnsi="宋体" w:eastAsia="宋体"/>
          <w:color w:val="auto"/>
          <w:lang w:val="en-US" w:eastAsia="zh-CN"/>
        </w:rPr>
      </w:pPr>
    </w:p>
    <w:p w14:paraId="51FDFCB3">
      <w:pPr>
        <w:pStyle w:val="15"/>
        <w:rPr>
          <w:rFonts w:hint="eastAsia" w:ascii="宋体" w:hAnsi="宋体" w:eastAsia="宋体"/>
          <w:color w:val="auto"/>
          <w:lang w:val="en-US" w:eastAsia="zh-CN"/>
        </w:rPr>
      </w:pPr>
    </w:p>
    <w:p w14:paraId="5B71B0BB">
      <w:pPr>
        <w:pStyle w:val="15"/>
        <w:rPr>
          <w:rFonts w:hint="eastAsia" w:ascii="宋体" w:hAnsi="宋体" w:eastAsia="宋体"/>
          <w:color w:val="auto"/>
          <w:lang w:val="en-US" w:eastAsia="zh-CN"/>
        </w:rPr>
      </w:pPr>
    </w:p>
    <w:p w14:paraId="07D9D82D">
      <w:pPr>
        <w:pStyle w:val="15"/>
        <w:rPr>
          <w:rFonts w:hint="eastAsia" w:ascii="宋体" w:hAnsi="宋体" w:eastAsia="宋体"/>
          <w:color w:val="auto"/>
          <w:lang w:val="en-US" w:eastAsia="zh-CN"/>
        </w:rPr>
      </w:pPr>
    </w:p>
    <w:p w14:paraId="2D40114A">
      <w:pPr>
        <w:pStyle w:val="15"/>
        <w:rPr>
          <w:rFonts w:hint="eastAsia" w:ascii="宋体" w:hAnsi="宋体" w:eastAsia="宋体"/>
          <w:color w:val="auto"/>
          <w:lang w:val="en-US" w:eastAsia="zh-CN"/>
        </w:rPr>
      </w:pPr>
    </w:p>
    <w:p w14:paraId="31B2D86F">
      <w:pPr>
        <w:jc w:val="left"/>
        <w:rPr>
          <w:rFonts w:hint="eastAsia" w:ascii="黑体" w:hAnsi="黑体" w:eastAsia="黑体"/>
          <w:sz w:val="40"/>
          <w:szCs w:val="40"/>
          <w:lang w:val="en-US" w:eastAsia="zh-CN"/>
        </w:rPr>
      </w:pPr>
      <w:r>
        <w:rPr>
          <w:rFonts w:hint="eastAsia" w:ascii="黑体" w:hAnsi="黑体" w:eastAsia="黑体"/>
          <w:sz w:val="40"/>
          <w:szCs w:val="40"/>
          <w:lang w:val="en-US" w:eastAsia="zh-CN"/>
        </w:rPr>
        <w:t>附件：</w:t>
      </w:r>
    </w:p>
    <w:p w14:paraId="6B6F6F1A">
      <w:pPr>
        <w:jc w:val="left"/>
        <w:rPr>
          <w:rFonts w:hint="eastAsia" w:ascii="黑体" w:hAnsi="黑体" w:eastAsia="黑体"/>
          <w:sz w:val="44"/>
          <w:szCs w:val="44"/>
          <w:lang w:val="en-US" w:eastAsia="zh-CN"/>
        </w:rPr>
      </w:pPr>
    </w:p>
    <w:p w14:paraId="31328E44">
      <w:pPr>
        <w:jc w:val="center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t>新时代大学生劳动教育结课论文要求</w:t>
      </w:r>
    </w:p>
    <w:p w14:paraId="1CFCF13E">
      <w:pPr>
        <w:ind w:firstLine="560" w:firstLineChars="200"/>
        <w:rPr>
          <w:rFonts w:ascii="宋体" w:hAnsi="宋体" w:eastAsia="宋体"/>
          <w:sz w:val="28"/>
          <w:szCs w:val="28"/>
        </w:rPr>
      </w:pPr>
    </w:p>
    <w:p w14:paraId="21780C68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为深化对本课程知识的理解与应用，结课论文需围绕课程的十</w:t>
      </w:r>
      <w:r>
        <w:rPr>
          <w:rFonts w:ascii="宋体" w:hAnsi="宋体" w:eastAsia="宋体"/>
          <w:sz w:val="28"/>
          <w:szCs w:val="28"/>
        </w:rPr>
        <w:t>个章节（劳动教育概述、新时代劳动观构建、劳动心理、大学生的日常生活劳动、大学生的生产劳动、大学生的服务性劳动、劳动保障与权益保护、创造性劳动与专业发展、劳动安全与防护、劳动与社会责任）中的任意一章确定主题，字数需控制在2000-3000字，具体要求如下：</w:t>
      </w:r>
    </w:p>
    <w:p w14:paraId="560BAAFB"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一、主题选择与核心方向建议</w:t>
      </w:r>
    </w:p>
    <w:p w14:paraId="7396F767">
      <w:pPr>
        <w:ind w:firstLine="562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劳动教育概述章节：</w:t>
      </w:r>
      <w:r>
        <w:rPr>
          <w:rFonts w:hint="eastAsia" w:ascii="宋体" w:hAnsi="宋体" w:eastAsia="宋体"/>
          <w:sz w:val="28"/>
          <w:szCs w:val="28"/>
        </w:rPr>
        <w:t>建议从</w:t>
      </w:r>
      <w:r>
        <w:rPr>
          <w:rFonts w:ascii="宋体" w:hAnsi="宋体" w:eastAsia="宋体"/>
          <w:sz w:val="28"/>
          <w:szCs w:val="28"/>
        </w:rPr>
        <w:t>中华优秀传统劳动文化的当代价值与传承路径切入，结合北京林业大学学科特色，分析传统农林劳动智慧如何助力现代生态文明建设；</w:t>
      </w:r>
      <w:r>
        <w:rPr>
          <w:rFonts w:hint="eastAsia" w:ascii="宋体" w:hAnsi="宋体" w:eastAsia="宋体"/>
          <w:sz w:val="28"/>
          <w:szCs w:val="28"/>
        </w:rPr>
        <w:t>或</w:t>
      </w:r>
      <w:r>
        <w:rPr>
          <w:rFonts w:ascii="宋体" w:hAnsi="宋体" w:eastAsia="宋体"/>
          <w:sz w:val="28"/>
          <w:szCs w:val="28"/>
        </w:rPr>
        <w:t>聚焦劳动教育在乡村振兴中的实践路径，探讨大学生参与劳动实践的具体形式与意义。</w:t>
      </w:r>
    </w:p>
    <w:p w14:paraId="7BE71414">
      <w:pPr>
        <w:ind w:firstLine="562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新时代劳动观构建章节：</w:t>
      </w:r>
      <w:r>
        <w:rPr>
          <w:rFonts w:hint="eastAsia" w:ascii="宋体" w:hAnsi="宋体" w:eastAsia="宋体"/>
          <w:sz w:val="28"/>
          <w:szCs w:val="28"/>
        </w:rPr>
        <w:t>建议围绕</w:t>
      </w:r>
      <w:r>
        <w:rPr>
          <w:rFonts w:ascii="宋体" w:hAnsi="宋体" w:eastAsia="宋体"/>
          <w:sz w:val="28"/>
          <w:szCs w:val="28"/>
        </w:rPr>
        <w:t>农林领域劳模精神的时代内涵与学习路径展开，选取黄大年等典型劳模或林业行业先进人物案例，分析其事迹中体现的马克思主义劳动观，以及对大学生职业观塑造的启示；或探讨工匠精神在林草专业学习中的落地实践，结合专业学习经历，阐述如何将精益求精的工匠精神融入专业技能提升。</w:t>
      </w:r>
    </w:p>
    <w:p w14:paraId="4FF6FB19">
      <w:pPr>
        <w:ind w:firstLine="562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劳动心理章节：</w:t>
      </w:r>
      <w:r>
        <w:rPr>
          <w:rFonts w:hint="eastAsia" w:ascii="宋体" w:hAnsi="宋体" w:eastAsia="宋体"/>
          <w:sz w:val="28"/>
          <w:szCs w:val="28"/>
        </w:rPr>
        <w:t>可选择</w:t>
      </w:r>
      <w:r>
        <w:rPr>
          <w:rFonts w:ascii="宋体" w:hAnsi="宋体" w:eastAsia="宋体"/>
          <w:sz w:val="28"/>
          <w:szCs w:val="28"/>
        </w:rPr>
        <w:t>大学生专业实习中的劳动心理</w:t>
      </w:r>
      <w:bookmarkStart w:id="0" w:name="OLE_LINK1"/>
      <w:r>
        <w:rPr>
          <w:rFonts w:ascii="宋体" w:hAnsi="宋体" w:eastAsia="宋体"/>
          <w:sz w:val="28"/>
          <w:szCs w:val="28"/>
        </w:rPr>
        <w:t>调适策略</w:t>
      </w:r>
      <w:bookmarkEnd w:id="0"/>
      <w:r>
        <w:rPr>
          <w:rFonts w:ascii="宋体" w:hAnsi="宋体" w:eastAsia="宋体"/>
          <w:sz w:val="28"/>
          <w:szCs w:val="28"/>
        </w:rPr>
        <w:t>主题，结合职业匹配理论，分析实习中可能出现的焦虑、挫败等心理问题，提出针对性调节方法；也可研究团队协作在校园劳动实践中的作用，以宿舍文化节、班级劳动活动等案例，剖析沟通技巧对劳动效率与心理状态的影响。</w:t>
      </w:r>
    </w:p>
    <w:p w14:paraId="63BD94DA">
      <w:pPr>
        <w:ind w:firstLine="562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大学生的日常生活劳动章节：</w:t>
      </w:r>
      <w:r>
        <w:rPr>
          <w:rFonts w:hint="eastAsia" w:ascii="宋体" w:hAnsi="宋体" w:eastAsia="宋体"/>
          <w:sz w:val="28"/>
          <w:szCs w:val="28"/>
        </w:rPr>
        <w:t>建议聚焦</w:t>
      </w:r>
      <w:r>
        <w:rPr>
          <w:rFonts w:ascii="宋体" w:hAnsi="宋体" w:eastAsia="宋体"/>
          <w:sz w:val="28"/>
          <w:szCs w:val="28"/>
        </w:rPr>
        <w:t>校园日常生活劳动习惯养成与劳动价值观培育，结合宿舍整理、校园环境维护等实际场景，分析日常劳动如何帮助大学生树立珍惜劳动成果的意识；或探讨日常生活劳动与生态文明素养的关联，如通过垃圾分类、节水节电等劳动实践，培养绿色生活理念。</w:t>
      </w:r>
    </w:p>
    <w:p w14:paraId="08CE4D2B">
      <w:pPr>
        <w:ind w:firstLine="562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大学生的生产劳动章节：</w:t>
      </w:r>
      <w:r>
        <w:rPr>
          <w:rFonts w:hint="eastAsia" w:ascii="宋体" w:hAnsi="宋体" w:eastAsia="宋体"/>
          <w:sz w:val="28"/>
          <w:szCs w:val="28"/>
        </w:rPr>
        <w:t>需结合本专业实习实训经历，可选择</w:t>
      </w:r>
      <w:r>
        <w:rPr>
          <w:rFonts w:ascii="宋体" w:hAnsi="宋体" w:eastAsia="宋体"/>
          <w:sz w:val="28"/>
          <w:szCs w:val="28"/>
        </w:rPr>
        <w:t>专业生产劳动对林草职业素养的提升作用主题，分析在林场实习、植物培育等实践中，劳动技能掌握与专业知识应用的结合点。</w:t>
      </w:r>
    </w:p>
    <w:p w14:paraId="262E91C1">
      <w:pPr>
        <w:ind w:firstLine="562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大学生的服务性劳动章节：</w:t>
      </w:r>
      <w:r>
        <w:rPr>
          <w:rFonts w:hint="eastAsia" w:ascii="宋体" w:hAnsi="宋体" w:eastAsia="宋体"/>
          <w:sz w:val="28"/>
          <w:szCs w:val="28"/>
        </w:rPr>
        <w:t>可围绕</w:t>
      </w:r>
      <w:r>
        <w:rPr>
          <w:rFonts w:ascii="宋体" w:hAnsi="宋体" w:eastAsia="宋体"/>
          <w:sz w:val="28"/>
          <w:szCs w:val="28"/>
        </w:rPr>
        <w:t>乡村振兴背景下大学生志愿服务的价值与实践，分析服务性劳动如何助力乡村生态保护与教育发展；也可探讨志愿服务中的社会担当</w:t>
      </w:r>
      <w:r>
        <w:rPr>
          <w:rFonts w:hint="eastAsia" w:ascii="宋体" w:hAnsi="宋体" w:eastAsia="宋体"/>
          <w:sz w:val="28"/>
          <w:szCs w:val="28"/>
        </w:rPr>
        <w:t>意识</w:t>
      </w:r>
      <w:r>
        <w:rPr>
          <w:rFonts w:ascii="宋体" w:hAnsi="宋体" w:eastAsia="宋体"/>
          <w:sz w:val="28"/>
          <w:szCs w:val="28"/>
        </w:rPr>
        <w:t>，结合自身参与的社会服务经历，阐述劳动对社会责任感培育的作用。</w:t>
      </w:r>
    </w:p>
    <w:p w14:paraId="79B602CC">
      <w:pPr>
        <w:ind w:firstLine="562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劳动保障与权益保护章节：</w:t>
      </w:r>
      <w:r>
        <w:rPr>
          <w:rFonts w:hint="eastAsia" w:ascii="宋体" w:hAnsi="宋体" w:eastAsia="宋体"/>
          <w:sz w:val="28"/>
          <w:szCs w:val="28"/>
        </w:rPr>
        <w:t>建议聚焦</w:t>
      </w:r>
      <w:r>
        <w:rPr>
          <w:rFonts w:ascii="宋体" w:hAnsi="宋体" w:eastAsia="宋体"/>
          <w:sz w:val="28"/>
          <w:szCs w:val="28"/>
        </w:rPr>
        <w:t>大学生实习兼职中的劳动权益风险与防范，结合课程中的法律法规知识，分析常见的权益纠纷（如拖欠报酬、安全保障缺失），提出具体的维权方法；或研究农林专业实践中的劳动保障特殊性，探讨野外作业、季节性劳动中的</w:t>
      </w:r>
      <w:r>
        <w:rPr>
          <w:rFonts w:hint="eastAsia" w:ascii="宋体" w:hAnsi="宋体" w:eastAsia="宋体"/>
          <w:sz w:val="28"/>
          <w:szCs w:val="28"/>
        </w:rPr>
        <w:t>劳动安全</w:t>
      </w:r>
      <w:r>
        <w:rPr>
          <w:rFonts w:ascii="宋体" w:hAnsi="宋体" w:eastAsia="宋体"/>
          <w:sz w:val="28"/>
          <w:szCs w:val="28"/>
        </w:rPr>
        <w:t>保护要点。</w:t>
      </w:r>
    </w:p>
    <w:p w14:paraId="50F876BA">
      <w:pPr>
        <w:ind w:firstLine="562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创造性劳动与专业发展章节：</w:t>
      </w:r>
      <w:r>
        <w:rPr>
          <w:rFonts w:hint="eastAsia" w:ascii="宋体" w:hAnsi="宋体" w:eastAsia="宋体"/>
          <w:sz w:val="28"/>
          <w:szCs w:val="28"/>
        </w:rPr>
        <w:t>需结合林草专业特色，可选择</w:t>
      </w:r>
      <w:r>
        <w:rPr>
          <w:rFonts w:ascii="宋体" w:hAnsi="宋体" w:eastAsia="宋体"/>
          <w:sz w:val="28"/>
          <w:szCs w:val="28"/>
        </w:rPr>
        <w:t>林业领域创造性劳动与乡村振兴的融合路径，以学校学生的创新创业案例（如</w:t>
      </w:r>
      <w:r>
        <w:rPr>
          <w:rFonts w:hint="eastAsia" w:ascii="宋体" w:hAnsi="宋体" w:eastAsia="宋体"/>
          <w:sz w:val="28"/>
          <w:szCs w:val="28"/>
        </w:rPr>
        <w:t>经济林产业助力乡村振兴</w:t>
      </w:r>
      <w:r>
        <w:rPr>
          <w:rFonts w:ascii="宋体" w:hAnsi="宋体" w:eastAsia="宋体"/>
          <w:sz w:val="28"/>
          <w:szCs w:val="28"/>
        </w:rPr>
        <w:t>、智慧林业技术应用）为切入点，分析创造性劳动如何推动产业升级；或探讨大学生创造性劳动能力的培养策略，结合课程中的创新思维方法，提出具体的实践方向。</w:t>
      </w:r>
    </w:p>
    <w:p w14:paraId="44385536">
      <w:pPr>
        <w:ind w:firstLine="562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劳动安全与防护章节：</w:t>
      </w:r>
      <w:r>
        <w:rPr>
          <w:rFonts w:hint="eastAsia" w:ascii="宋体" w:hAnsi="宋体" w:eastAsia="宋体"/>
          <w:sz w:val="28"/>
          <w:szCs w:val="28"/>
        </w:rPr>
        <w:t>建议围绕</w:t>
      </w:r>
      <w:r>
        <w:rPr>
          <w:rFonts w:ascii="宋体" w:hAnsi="宋体" w:eastAsia="宋体"/>
          <w:sz w:val="28"/>
          <w:szCs w:val="28"/>
        </w:rPr>
        <w:t>农林专业实践中的劳动安全风险与应急处理，结合课程中的安全规程，分析野外调查、林场作业等场景中的安全隐患（如自然灾害、工具伤害），提出针对性的防护与应急方案；或研究校园劳动实践中的安全管理细节，如集体劳动中的人员分工、安全检查流程。</w:t>
      </w:r>
    </w:p>
    <w:p w14:paraId="3AF83EB6">
      <w:pPr>
        <w:ind w:firstLine="562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劳动与社会责任章节：</w:t>
      </w:r>
      <w:r>
        <w:rPr>
          <w:rFonts w:hint="eastAsia" w:ascii="宋体" w:hAnsi="宋体" w:eastAsia="宋体"/>
          <w:sz w:val="28"/>
          <w:szCs w:val="28"/>
        </w:rPr>
        <w:t>可选择</w:t>
      </w:r>
      <w:r>
        <w:rPr>
          <w:rFonts w:ascii="宋体" w:hAnsi="宋体" w:eastAsia="宋体"/>
          <w:sz w:val="28"/>
          <w:szCs w:val="28"/>
        </w:rPr>
        <w:t>北林校友生态扶贫案例中的劳动社会责任解读，结合校友在生态建设、乡村帮扶中的实践，分析劳动如何实现个人价值与社会价值的统一；或探讨未来劳动趋势下大学生的能力准备，结合数字化、绿色化劳动发展方向，阐述大学生需具备的核心素养。</w:t>
      </w:r>
    </w:p>
    <w:p w14:paraId="74F4EB8C">
      <w:pPr>
        <w:ind w:firstLine="560" w:firstLineChars="200"/>
        <w:rPr>
          <w:rFonts w:ascii="黑体" w:hAnsi="黑体" w:eastAsia="黑体"/>
          <w:sz w:val="28"/>
          <w:szCs w:val="28"/>
        </w:rPr>
      </w:pPr>
      <w:bookmarkStart w:id="1" w:name="_Hlk211329325"/>
      <w:r>
        <w:rPr>
          <w:rFonts w:hint="eastAsia" w:ascii="黑体" w:hAnsi="黑体" w:eastAsia="黑体"/>
          <w:sz w:val="28"/>
          <w:szCs w:val="28"/>
        </w:rPr>
        <w:t>二、写作规范与内容要求</w:t>
      </w:r>
    </w:p>
    <w:bookmarkEnd w:id="1"/>
    <w:p w14:paraId="439B4E16">
      <w:pPr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1</w:t>
      </w:r>
      <w:r>
        <w:rPr>
          <w:rFonts w:hint="eastAsia" w:ascii="楷体" w:hAnsi="楷体" w:eastAsia="楷体"/>
          <w:sz w:val="28"/>
          <w:szCs w:val="28"/>
        </w:rPr>
        <w:t>．结构完整</w:t>
      </w:r>
    </w:p>
    <w:p w14:paraId="349BA61A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论文需包含摘要、关键词、引言、正文、结论五部分。其中引言明确主题选择理由与研究意义；正文结合课程知识点与案例展开分析，逻辑清晰、论据充分；结论总结核心观点，提炼对自身劳动素养提升的启示。</w:t>
      </w:r>
    </w:p>
    <w:p w14:paraId="02DF3B61">
      <w:pPr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2</w:t>
      </w:r>
      <w:r>
        <w:rPr>
          <w:rFonts w:ascii="楷体" w:hAnsi="楷体" w:eastAsia="楷体"/>
          <w:sz w:val="28"/>
          <w:szCs w:val="28"/>
        </w:rPr>
        <w:t>.</w:t>
      </w:r>
      <w:r>
        <w:rPr>
          <w:rFonts w:hint="eastAsia" w:ascii="楷体" w:hAnsi="楷体" w:eastAsia="楷体"/>
          <w:sz w:val="28"/>
          <w:szCs w:val="28"/>
        </w:rPr>
        <w:t>案例导向</w:t>
      </w:r>
    </w:p>
    <w:p w14:paraId="71398A56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需选取</w:t>
      </w:r>
      <w:r>
        <w:rPr>
          <w:rFonts w:ascii="宋体" w:hAnsi="宋体" w:eastAsia="宋体"/>
          <w:sz w:val="28"/>
          <w:szCs w:val="28"/>
        </w:rPr>
        <w:t>1-2个具体案例</w:t>
      </w:r>
      <w:r>
        <w:rPr>
          <w:rFonts w:hint="eastAsia" w:ascii="宋体" w:hAnsi="宋体" w:eastAsia="宋体"/>
          <w:sz w:val="28"/>
          <w:szCs w:val="28"/>
        </w:rPr>
        <w:t>，</w:t>
      </w:r>
      <w:r>
        <w:rPr>
          <w:rFonts w:ascii="宋体" w:hAnsi="宋体" w:eastAsia="宋体"/>
          <w:sz w:val="28"/>
          <w:szCs w:val="28"/>
        </w:rPr>
        <w:t>将案例分析与课程理论知识深度结合，避免纯理论阐述。</w:t>
      </w:r>
    </w:p>
    <w:p w14:paraId="535921E4">
      <w:pPr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3</w:t>
      </w:r>
      <w:r>
        <w:rPr>
          <w:rFonts w:ascii="楷体" w:hAnsi="楷体" w:eastAsia="楷体"/>
          <w:sz w:val="28"/>
          <w:szCs w:val="28"/>
        </w:rPr>
        <w:t>.</w:t>
      </w:r>
      <w:r>
        <w:rPr>
          <w:rFonts w:hint="eastAsia" w:ascii="楷体" w:hAnsi="楷体" w:eastAsia="楷体"/>
          <w:sz w:val="28"/>
          <w:szCs w:val="28"/>
        </w:rPr>
        <w:t>贴合专业</w:t>
      </w:r>
    </w:p>
    <w:p w14:paraId="095C5407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林草相关专业学生需在论文中融入专业特色，非林草专业学生可结合自身专业或校园劳动实践，体现</w:t>
      </w:r>
      <w:r>
        <w:rPr>
          <w:rFonts w:ascii="宋体" w:hAnsi="宋体" w:eastAsia="宋体"/>
          <w:sz w:val="28"/>
          <w:szCs w:val="28"/>
        </w:rPr>
        <w:t>通专融合的劳动教育理念。</w:t>
      </w:r>
    </w:p>
    <w:p w14:paraId="51D372FE">
      <w:pPr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4.</w:t>
      </w:r>
      <w:r>
        <w:rPr>
          <w:rFonts w:hint="eastAsia" w:ascii="楷体" w:hAnsi="楷体" w:eastAsia="楷体"/>
          <w:sz w:val="28"/>
          <w:szCs w:val="28"/>
        </w:rPr>
        <w:t>格式规范</w:t>
      </w:r>
    </w:p>
    <w:p w14:paraId="57EC8895">
      <w:pPr>
        <w:pStyle w:val="5"/>
        <w:shd w:val="clear" w:color="auto" w:fill="FFFFFF"/>
        <w:spacing w:before="0" w:beforeAutospacing="0" w:after="225" w:afterAutospacing="0" w:line="375" w:lineRule="atLeast"/>
        <w:jc w:val="center"/>
        <w:rPr>
          <w:rFonts w:ascii="Arial" w:hAnsi="Arial" w:cs="Arial"/>
          <w:color w:val="030303"/>
          <w:sz w:val="32"/>
          <w:szCs w:val="32"/>
        </w:rPr>
      </w:pPr>
      <w:r>
        <w:rPr>
          <w:rFonts w:hint="eastAsia" w:ascii="黑体" w:hAnsi="黑体" w:eastAsia="黑体" w:cs="Arial"/>
          <w:color w:val="030303"/>
          <w:sz w:val="32"/>
          <w:szCs w:val="32"/>
        </w:rPr>
        <w:t>文章题目</w:t>
      </w:r>
    </w:p>
    <w:p w14:paraId="669775BE">
      <w:pPr>
        <w:pStyle w:val="5"/>
        <w:shd w:val="clear" w:color="auto" w:fill="FFFFFF"/>
        <w:spacing w:before="0" w:beforeAutospacing="0" w:after="225" w:afterAutospacing="0" w:line="375" w:lineRule="atLeast"/>
        <w:jc w:val="center"/>
        <w:rPr>
          <w:rFonts w:ascii="Arial" w:hAnsi="Arial" w:cs="Arial"/>
          <w:color w:val="030303"/>
        </w:rPr>
      </w:pPr>
      <w:r>
        <w:rPr>
          <w:rFonts w:hint="eastAsia" w:cs="Arial"/>
          <w:color w:val="FF0000"/>
          <w:sz w:val="21"/>
          <w:szCs w:val="21"/>
        </w:rPr>
        <w:t>（题目一般不超过20字，应简明、具体、确切地概括文章要旨，用3号黑体字，居中）</w:t>
      </w:r>
    </w:p>
    <w:p w14:paraId="04AA9BAA">
      <w:pPr>
        <w:pStyle w:val="5"/>
        <w:shd w:val="clear" w:color="auto" w:fill="FFFFFF"/>
        <w:spacing w:before="0" w:beforeAutospacing="0" w:after="225" w:afterAutospacing="0" w:line="375" w:lineRule="atLeast"/>
        <w:jc w:val="center"/>
        <w:rPr>
          <w:rFonts w:ascii="楷体_GB2312" w:hAnsi="黑体" w:eastAsia="楷体_GB2312" w:cs="Arial"/>
          <w:color w:val="030303"/>
          <w:sz w:val="28"/>
          <w:szCs w:val="28"/>
        </w:rPr>
      </w:pPr>
      <w:r>
        <w:rPr>
          <w:rFonts w:hint="eastAsia" w:ascii="楷体" w:hAnsi="楷体" w:eastAsia="楷体" w:cs="Arial"/>
          <w:color w:val="030303"/>
          <w:sz w:val="28"/>
          <w:szCs w:val="28"/>
        </w:rPr>
        <w:t>作者</w:t>
      </w:r>
      <w:r>
        <w:rPr>
          <w:rFonts w:hint="eastAsia" w:cs="Arial"/>
          <w:color w:val="FF0000"/>
          <w:sz w:val="21"/>
          <w:szCs w:val="21"/>
        </w:rPr>
        <w:t>（作者用</w:t>
      </w:r>
      <w:r>
        <w:rPr>
          <w:rFonts w:cs="Arial"/>
          <w:color w:val="FF0000"/>
          <w:sz w:val="21"/>
          <w:szCs w:val="21"/>
        </w:rPr>
        <w:t>4</w:t>
      </w:r>
      <w:r>
        <w:rPr>
          <w:rFonts w:hint="eastAsia" w:cs="Arial"/>
          <w:color w:val="FF0000"/>
          <w:sz w:val="21"/>
          <w:szCs w:val="21"/>
        </w:rPr>
        <w:t>号楷体字，居中）</w:t>
      </w:r>
    </w:p>
    <w:p w14:paraId="22F53C35">
      <w:pPr>
        <w:pStyle w:val="5"/>
        <w:shd w:val="clear" w:color="auto" w:fill="FFFFFF"/>
        <w:spacing w:before="0" w:beforeAutospacing="0" w:after="225" w:afterAutospacing="0" w:line="375" w:lineRule="atLeast"/>
        <w:rPr>
          <w:rFonts w:ascii="Arial" w:hAnsi="Arial" w:cs="Arial"/>
          <w:color w:val="030303"/>
        </w:rPr>
      </w:pPr>
      <w:r>
        <w:rPr>
          <w:rFonts w:hint="eastAsia" w:ascii="黑体" w:hAnsi="黑体" w:eastAsia="黑体" w:cs="Arial"/>
          <w:color w:val="030303"/>
          <w:sz w:val="27"/>
          <w:szCs w:val="27"/>
        </w:rPr>
        <w:t>摘要：</w:t>
      </w:r>
      <w:r>
        <w:rPr>
          <w:rFonts w:hint="eastAsia" w:ascii="楷体" w:hAnsi="楷体" w:eastAsia="楷体" w:cs="Arial"/>
          <w:color w:val="030303"/>
          <w:sz w:val="27"/>
          <w:szCs w:val="27"/>
        </w:rPr>
        <w:t>根据全文内容概括提炼，包括全文主要研究观点和结论。不少于300字，用4号楷体字。</w:t>
      </w:r>
    </w:p>
    <w:p w14:paraId="09BC416D">
      <w:pPr>
        <w:pStyle w:val="5"/>
        <w:shd w:val="clear" w:color="auto" w:fill="FFFFFF"/>
        <w:spacing w:before="0" w:beforeAutospacing="0" w:after="225" w:afterAutospacing="0" w:line="264" w:lineRule="atLeast"/>
        <w:ind w:right="75"/>
        <w:jc w:val="both"/>
        <w:rPr>
          <w:rFonts w:ascii="Arial" w:hAnsi="Arial" w:cs="Arial"/>
          <w:color w:val="030303"/>
        </w:rPr>
      </w:pPr>
      <w:r>
        <w:rPr>
          <w:rFonts w:hint="eastAsia" w:ascii="黑体" w:hAnsi="黑体" w:eastAsia="黑体" w:cs="Arial"/>
          <w:color w:val="030303"/>
          <w:sz w:val="27"/>
          <w:szCs w:val="27"/>
        </w:rPr>
        <w:t>关键词：4</w:t>
      </w:r>
      <w:r>
        <w:rPr>
          <w:rFonts w:ascii="黑体" w:hAnsi="黑体" w:eastAsia="黑体" w:cs="Arial"/>
          <w:color w:val="030303"/>
          <w:sz w:val="27"/>
          <w:szCs w:val="27"/>
        </w:rPr>
        <w:t>-</w:t>
      </w:r>
      <w:r>
        <w:rPr>
          <w:rFonts w:hint="eastAsia" w:ascii="楷体" w:hAnsi="楷体" w:eastAsia="楷体" w:cs="Arial"/>
          <w:color w:val="030303"/>
          <w:sz w:val="27"/>
          <w:szCs w:val="27"/>
        </w:rPr>
        <w:t>5个，每个关键词间用分号“；”分隔。关键词要在正文中高频出现，并与主题或文章内容密切相关，能够准确概括主题或内容的核心要点，避免使用不规范或过于宽泛的词汇或虚词，如“建议、思考、实验、改革、分析”等不建议作为关键词，用4号楷体字。</w:t>
      </w:r>
    </w:p>
    <w:p w14:paraId="2123E048">
      <w:pPr>
        <w:pStyle w:val="5"/>
        <w:shd w:val="clear" w:color="auto" w:fill="FFFFFF"/>
        <w:spacing w:before="0" w:beforeAutospacing="0" w:after="225" w:afterAutospacing="0" w:line="264" w:lineRule="atLeast"/>
        <w:ind w:right="75"/>
        <w:jc w:val="both"/>
        <w:rPr>
          <w:rFonts w:ascii="黑体" w:hAnsi="黑体" w:eastAsia="黑体" w:cs="Arial"/>
          <w:color w:val="030303"/>
          <w:sz w:val="27"/>
          <w:szCs w:val="27"/>
        </w:rPr>
      </w:pPr>
      <w:r>
        <w:rPr>
          <w:rFonts w:hint="eastAsia" w:ascii="黑体" w:hAnsi="黑体" w:eastAsia="黑体" w:cs="Arial"/>
          <w:color w:val="030303"/>
          <w:sz w:val="27"/>
          <w:szCs w:val="27"/>
        </w:rPr>
        <w:t>全文字数不少于</w:t>
      </w:r>
      <w:r>
        <w:rPr>
          <w:rFonts w:ascii="黑体" w:hAnsi="黑体" w:eastAsia="黑体" w:cs="Arial"/>
          <w:color w:val="030303"/>
          <w:sz w:val="27"/>
          <w:szCs w:val="27"/>
        </w:rPr>
        <w:t>2</w:t>
      </w:r>
      <w:r>
        <w:rPr>
          <w:rFonts w:hint="eastAsia" w:ascii="黑体" w:hAnsi="黑体" w:eastAsia="黑体" w:cs="Arial"/>
          <w:color w:val="030303"/>
          <w:sz w:val="27"/>
          <w:szCs w:val="27"/>
        </w:rPr>
        <w:t>000字，写作语言言简意赅，少套话、空话，正文用</w:t>
      </w:r>
      <w:r>
        <w:rPr>
          <w:rFonts w:ascii="黑体" w:hAnsi="黑体" w:eastAsia="黑体" w:cs="Arial"/>
          <w:color w:val="030303"/>
          <w:sz w:val="27"/>
          <w:szCs w:val="27"/>
        </w:rPr>
        <w:t>4</w:t>
      </w:r>
      <w:r>
        <w:rPr>
          <w:rFonts w:hint="eastAsia" w:ascii="黑体" w:hAnsi="黑体" w:eastAsia="黑体" w:cs="Arial"/>
          <w:color w:val="030303"/>
          <w:sz w:val="27"/>
          <w:szCs w:val="27"/>
        </w:rPr>
        <w:t>号宋体字，行间距2</w:t>
      </w:r>
      <w:r>
        <w:rPr>
          <w:rFonts w:ascii="黑体" w:hAnsi="黑体" w:eastAsia="黑体" w:cs="Arial"/>
          <w:color w:val="030303"/>
          <w:sz w:val="27"/>
          <w:szCs w:val="27"/>
        </w:rPr>
        <w:t>8</w:t>
      </w:r>
      <w:r>
        <w:rPr>
          <w:rFonts w:hint="eastAsia" w:ascii="黑体" w:hAnsi="黑体" w:eastAsia="黑体" w:cs="Arial"/>
          <w:color w:val="030303"/>
          <w:sz w:val="27"/>
          <w:szCs w:val="27"/>
        </w:rPr>
        <w:t>磅。文章各级标题示例如下：</w:t>
      </w:r>
    </w:p>
    <w:p w14:paraId="00FB8D75">
      <w:pPr>
        <w:pStyle w:val="5"/>
        <w:shd w:val="clear" w:color="auto" w:fill="FFFFFF"/>
        <w:spacing w:before="0" w:beforeAutospacing="0" w:after="225" w:afterAutospacing="0" w:line="375" w:lineRule="atLeast"/>
        <w:ind w:firstLine="420"/>
        <w:rPr>
          <w:rFonts w:ascii="Arial" w:hAnsi="Arial" w:cs="Arial"/>
          <w:color w:val="030303"/>
          <w:spacing w:val="-20"/>
        </w:rPr>
      </w:pPr>
      <w:r>
        <w:rPr>
          <w:rFonts w:hint="eastAsia" w:ascii="黑体" w:hAnsi="黑体" w:eastAsia="黑体" w:cs="Arial"/>
          <w:color w:val="030303"/>
          <w:sz w:val="27"/>
          <w:szCs w:val="27"/>
        </w:rPr>
        <w:t>一、我国现代林业发展的特征</w:t>
      </w:r>
      <w:r>
        <w:rPr>
          <w:rFonts w:hint="eastAsia" w:cs="Arial"/>
          <w:color w:val="FF0000"/>
          <w:spacing w:val="-20"/>
          <w:sz w:val="27"/>
          <w:szCs w:val="27"/>
        </w:rPr>
        <w:t>（一级标题，用</w:t>
      </w:r>
      <w:r>
        <w:rPr>
          <w:rFonts w:cs="Arial"/>
          <w:color w:val="FF0000"/>
          <w:spacing w:val="-20"/>
          <w:sz w:val="27"/>
          <w:szCs w:val="27"/>
        </w:rPr>
        <w:t>4</w:t>
      </w:r>
      <w:r>
        <w:rPr>
          <w:rFonts w:hint="eastAsia" w:cs="Arial"/>
          <w:color w:val="FF0000"/>
          <w:spacing w:val="-20"/>
          <w:sz w:val="27"/>
          <w:szCs w:val="27"/>
        </w:rPr>
        <w:t>号黑体字，单独占行）</w:t>
      </w:r>
    </w:p>
    <w:p w14:paraId="06EEEA9D">
      <w:pPr>
        <w:pStyle w:val="5"/>
        <w:shd w:val="clear" w:color="auto" w:fill="FFFFFF"/>
        <w:spacing w:before="0" w:beforeAutospacing="0" w:after="225" w:afterAutospacing="0" w:line="375" w:lineRule="atLeast"/>
        <w:ind w:firstLine="420"/>
        <w:rPr>
          <w:rFonts w:ascii="Arial" w:hAnsi="Arial" w:cs="Arial"/>
          <w:color w:val="030303"/>
        </w:rPr>
      </w:pPr>
      <w:r>
        <w:rPr>
          <w:rFonts w:hint="eastAsia" w:ascii="楷体" w:hAnsi="楷体" w:eastAsia="楷体" w:cs="Arial"/>
          <w:color w:val="030303"/>
          <w:sz w:val="27"/>
          <w:szCs w:val="27"/>
        </w:rPr>
        <w:t>（一）生态效益性</w:t>
      </w:r>
      <w:r>
        <w:rPr>
          <w:rFonts w:ascii="Calibri" w:hAnsi="Calibri" w:eastAsia="楷体" w:cs="Calibri"/>
          <w:color w:val="030303"/>
          <w:sz w:val="27"/>
          <w:szCs w:val="27"/>
        </w:rPr>
        <w:t> </w:t>
      </w:r>
      <w:r>
        <w:rPr>
          <w:rFonts w:hint="eastAsia" w:cs="Arial"/>
          <w:color w:val="FF0000"/>
          <w:sz w:val="27"/>
          <w:szCs w:val="27"/>
        </w:rPr>
        <w:t>（二级标题，用</w:t>
      </w:r>
      <w:r>
        <w:rPr>
          <w:rFonts w:cs="Arial"/>
          <w:color w:val="FF0000"/>
          <w:sz w:val="27"/>
          <w:szCs w:val="27"/>
        </w:rPr>
        <w:t>4</w:t>
      </w:r>
      <w:r>
        <w:rPr>
          <w:rFonts w:hint="eastAsia" w:cs="Arial"/>
          <w:color w:val="FF0000"/>
          <w:sz w:val="27"/>
          <w:szCs w:val="27"/>
        </w:rPr>
        <w:t>号楷体，单独占行）</w:t>
      </w:r>
    </w:p>
    <w:p w14:paraId="6F06A78C">
      <w:pPr>
        <w:pStyle w:val="5"/>
        <w:shd w:val="clear" w:color="auto" w:fill="FFFFFF"/>
        <w:spacing w:before="0" w:beforeAutospacing="0" w:after="225" w:afterAutospacing="0" w:line="375" w:lineRule="atLeast"/>
        <w:ind w:firstLine="420"/>
        <w:rPr>
          <w:rFonts w:ascii="Arial" w:hAnsi="Arial" w:cs="Arial"/>
          <w:color w:val="030303"/>
        </w:rPr>
      </w:pPr>
      <w:r>
        <w:rPr>
          <w:rFonts w:hint="eastAsia" w:cs="Arial"/>
          <w:color w:val="030303"/>
          <w:sz w:val="27"/>
          <w:szCs w:val="27"/>
        </w:rPr>
        <w:t>1.环境保护作用</w:t>
      </w:r>
      <w:r>
        <w:rPr>
          <w:rFonts w:hint="eastAsia" w:cs="Arial"/>
          <w:color w:val="FF0000"/>
          <w:sz w:val="27"/>
          <w:szCs w:val="27"/>
        </w:rPr>
        <w:t>（三级标题，用</w:t>
      </w:r>
      <w:r>
        <w:rPr>
          <w:rFonts w:cs="Arial"/>
          <w:color w:val="FF0000"/>
          <w:sz w:val="27"/>
          <w:szCs w:val="27"/>
        </w:rPr>
        <w:t>4</w:t>
      </w:r>
      <w:r>
        <w:rPr>
          <w:rFonts w:hint="eastAsia" w:cs="Arial"/>
          <w:color w:val="FF0000"/>
          <w:sz w:val="27"/>
          <w:szCs w:val="27"/>
        </w:rPr>
        <w:t>号宋体，单独占行）</w:t>
      </w:r>
    </w:p>
    <w:p w14:paraId="529096B2">
      <w:pPr>
        <w:pStyle w:val="5"/>
        <w:shd w:val="clear" w:color="auto" w:fill="FFFFFF"/>
        <w:spacing w:before="0" w:beforeAutospacing="0" w:after="225" w:afterAutospacing="0" w:line="375" w:lineRule="atLeast"/>
        <w:ind w:firstLine="420"/>
        <w:rPr>
          <w:rFonts w:hint="eastAsia" w:cs="Arial"/>
          <w:color w:val="FF0000"/>
          <w:sz w:val="27"/>
          <w:szCs w:val="27"/>
        </w:rPr>
      </w:pPr>
      <w:r>
        <w:rPr>
          <w:rFonts w:hint="eastAsia" w:cs="Arial"/>
          <w:color w:val="030303"/>
          <w:sz w:val="27"/>
          <w:szCs w:val="27"/>
        </w:rPr>
        <w:t>1）四级标题</w:t>
      </w:r>
      <w:r>
        <w:rPr>
          <w:rFonts w:hint="eastAsia" w:cs="Arial"/>
          <w:color w:val="FF0000"/>
          <w:sz w:val="27"/>
          <w:szCs w:val="27"/>
        </w:rPr>
        <w:t>（随文排，不单独占行）</w:t>
      </w:r>
    </w:p>
    <w:p w14:paraId="6595BFE0">
      <w:pPr>
        <w:pStyle w:val="5"/>
        <w:shd w:val="clear" w:color="auto" w:fill="FFFFFF"/>
        <w:spacing w:before="0" w:beforeAutospacing="0" w:after="225" w:afterAutospacing="0" w:line="375" w:lineRule="atLeast"/>
        <w:ind w:firstLine="420"/>
        <w:rPr>
          <w:rFonts w:hint="eastAsia" w:cs="Arial"/>
          <w:color w:val="FF0000"/>
          <w:sz w:val="27"/>
          <w:szCs w:val="27"/>
        </w:rPr>
      </w:pPr>
    </w:p>
    <w:p w14:paraId="07E56DC8"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三、命名规则与提交方式</w:t>
      </w:r>
    </w:p>
    <w:p w14:paraId="58BD3B58">
      <w:pPr>
        <w:ind w:firstLine="560" w:firstLineChars="20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2026年1月23日17:00前将结课论文电子版</w:t>
      </w:r>
      <w:r>
        <w:rPr>
          <w:rFonts w:hint="eastAsia" w:ascii="宋体" w:hAnsi="宋体" w:eastAsia="宋体"/>
          <w:sz w:val="28"/>
          <w:szCs w:val="28"/>
        </w:rPr>
        <w:t>发送至邮箱：bfulaodongjiaoyu@163.com，文件和邮件均命名为“学号-姓名-论文题目”。</w:t>
      </w:r>
    </w:p>
    <w:p w14:paraId="7240729D">
      <w:pPr>
        <w:pStyle w:val="15"/>
        <w:rPr>
          <w:rFonts w:hint="eastAsia" w:ascii="宋体" w:hAnsi="宋体" w:eastAsia="宋体"/>
          <w:color w:val="auto"/>
        </w:rPr>
      </w:pPr>
      <w:r>
        <w:rPr>
          <w:rFonts w:hint="eastAsia" w:ascii="宋体" w:hAnsi="宋体" w:eastAsia="宋体"/>
          <w:color w:val="auto"/>
          <w:lang w:val="en-US" w:eastAsia="zh-CN"/>
        </w:rPr>
        <w:t xml:space="preserve"> </w:t>
      </w:r>
      <w:r>
        <w:rPr>
          <w:rFonts w:hint="eastAsia" w:ascii="宋体" w:hAnsi="宋体" w:eastAsia="宋体"/>
          <w:color w:val="auto"/>
        </w:rPr>
        <w:t xml:space="preserve"> </w:t>
      </w:r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5933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4218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74218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B08805"/>
    <w:multiLevelType w:val="singleLevel"/>
    <w:tmpl w:val="47B08805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20B3A36"/>
    <w:multiLevelType w:val="singleLevel"/>
    <w:tmpl w:val="520B3A36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zYmRiMTAwMDQ5YzA1MTlkODg4YzliZjAxNGY5ZDQifQ=="/>
  </w:docVars>
  <w:rsids>
    <w:rsidRoot w:val="00584DB8"/>
    <w:rsid w:val="00001DED"/>
    <w:rsid w:val="00046FE2"/>
    <w:rsid w:val="000836BB"/>
    <w:rsid w:val="0019706E"/>
    <w:rsid w:val="0021340D"/>
    <w:rsid w:val="002F5ED8"/>
    <w:rsid w:val="0033476C"/>
    <w:rsid w:val="00441338"/>
    <w:rsid w:val="0048167C"/>
    <w:rsid w:val="004B7055"/>
    <w:rsid w:val="00584DB8"/>
    <w:rsid w:val="005E4699"/>
    <w:rsid w:val="006872AA"/>
    <w:rsid w:val="00720983"/>
    <w:rsid w:val="007813E8"/>
    <w:rsid w:val="007878F5"/>
    <w:rsid w:val="007C166D"/>
    <w:rsid w:val="007F6638"/>
    <w:rsid w:val="008432DC"/>
    <w:rsid w:val="00856CE3"/>
    <w:rsid w:val="00864488"/>
    <w:rsid w:val="00A42F1C"/>
    <w:rsid w:val="00C11CF8"/>
    <w:rsid w:val="00C87FBF"/>
    <w:rsid w:val="00C90FBB"/>
    <w:rsid w:val="00CC5394"/>
    <w:rsid w:val="00CF4693"/>
    <w:rsid w:val="00D35ABD"/>
    <w:rsid w:val="00D943E3"/>
    <w:rsid w:val="00D96691"/>
    <w:rsid w:val="00E2174A"/>
    <w:rsid w:val="00E36622"/>
    <w:rsid w:val="00E40B01"/>
    <w:rsid w:val="00E6134D"/>
    <w:rsid w:val="07332A1E"/>
    <w:rsid w:val="0A757A03"/>
    <w:rsid w:val="0ECD7BD5"/>
    <w:rsid w:val="1A9F380C"/>
    <w:rsid w:val="231338D3"/>
    <w:rsid w:val="2561612C"/>
    <w:rsid w:val="297A3CF6"/>
    <w:rsid w:val="29876B55"/>
    <w:rsid w:val="2B772180"/>
    <w:rsid w:val="2BA36C71"/>
    <w:rsid w:val="306B6D69"/>
    <w:rsid w:val="307C3BF6"/>
    <w:rsid w:val="35257FBA"/>
    <w:rsid w:val="3FF43934"/>
    <w:rsid w:val="409548CF"/>
    <w:rsid w:val="48B25257"/>
    <w:rsid w:val="59380AA2"/>
    <w:rsid w:val="597F60CF"/>
    <w:rsid w:val="5E53043F"/>
    <w:rsid w:val="60B97D8F"/>
    <w:rsid w:val="62612D73"/>
    <w:rsid w:val="6C444458"/>
    <w:rsid w:val="6FB76B46"/>
    <w:rsid w:val="712E66FF"/>
    <w:rsid w:val="761C49CA"/>
    <w:rsid w:val="7A754A68"/>
    <w:rsid w:val="7B620D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260" w:after="260" w:line="413" w:lineRule="auto"/>
      <w:jc w:val="center"/>
      <w:outlineLvl w:val="0"/>
    </w:pPr>
    <w:rPr>
      <w:rFonts w:ascii="Calibri" w:hAnsi="Cambria Math" w:eastAsia="Calibri" w:cs="Cambria Math"/>
      <w:b/>
      <w:bCs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等线 Light" w:hAnsi="等线 Light" w:cs="等线 Light"/>
      <w:kern w:val="0"/>
      <w:sz w:val="24"/>
      <w:szCs w:val="24"/>
    </w:rPr>
  </w:style>
  <w:style w:type="character" w:customStyle="1" w:styleId="8">
    <w:name w:val="页脚 字符"/>
    <w:link w:val="3"/>
    <w:uiPriority w:val="0"/>
    <w:rPr>
      <w:kern w:val="2"/>
      <w:sz w:val="18"/>
      <w:szCs w:val="18"/>
    </w:rPr>
  </w:style>
  <w:style w:type="character" w:customStyle="1" w:styleId="9">
    <w:name w:val="页眉 字符"/>
    <w:link w:val="4"/>
    <w:uiPriority w:val="0"/>
    <w:rPr>
      <w:kern w:val="2"/>
      <w:sz w:val="18"/>
      <w:szCs w:val="18"/>
    </w:rPr>
  </w:style>
  <w:style w:type="paragraph" w:customStyle="1" w:styleId="10">
    <w:name w:val="课程名中文"/>
    <w:basedOn w:val="2"/>
    <w:qFormat/>
    <w:uiPriority w:val="0"/>
    <w:pPr>
      <w:spacing w:before="0" w:after="0" w:line="360" w:lineRule="auto"/>
    </w:pPr>
    <w:rPr>
      <w:rFonts w:ascii="Cambria Math" w:eastAsia="等线 Light"/>
      <w:color w:val="000000"/>
      <w:sz w:val="44"/>
      <w:szCs w:val="44"/>
    </w:rPr>
  </w:style>
  <w:style w:type="paragraph" w:customStyle="1" w:styleId="11">
    <w:name w:val="课程名英文"/>
    <w:basedOn w:val="12"/>
    <w:qFormat/>
    <w:uiPriority w:val="0"/>
    <w:pPr>
      <w:spacing w:before="0" w:after="50" w:afterLines="50" w:line="360" w:lineRule="auto"/>
      <w:outlineLvl w:val="9"/>
    </w:pPr>
    <w:rPr>
      <w:rFonts w:eastAsia="Calibri"/>
      <w:sz w:val="44"/>
      <w:szCs w:val="44"/>
    </w:rPr>
  </w:style>
  <w:style w:type="paragraph" w:customStyle="1" w:styleId="12">
    <w:name w:val="标题一"/>
    <w:basedOn w:val="2"/>
    <w:qFormat/>
    <w:uiPriority w:val="0"/>
    <w:pPr>
      <w:adjustRightInd w:val="0"/>
      <w:spacing w:before="120" w:after="120" w:line="320" w:lineRule="atLeast"/>
      <w:outlineLvl w:val="1"/>
    </w:pPr>
    <w:rPr>
      <w:rFonts w:ascii="Cambria Math" w:eastAsia="黑体"/>
      <w:b w:val="0"/>
      <w:kern w:val="44"/>
      <w:szCs w:val="30"/>
    </w:rPr>
  </w:style>
  <w:style w:type="paragraph" w:customStyle="1" w:styleId="13">
    <w:name w:val="课程代码"/>
    <w:basedOn w:val="1"/>
    <w:qFormat/>
    <w:uiPriority w:val="0"/>
    <w:pPr>
      <w:spacing w:line="276" w:lineRule="auto"/>
    </w:pPr>
    <w:rPr>
      <w:rFonts w:ascii="Cambria Math" w:hAnsi="Cambria Math" w:eastAsia="小标宋" w:cs="Cambria Math"/>
    </w:rPr>
  </w:style>
  <w:style w:type="paragraph" w:customStyle="1" w:styleId="14">
    <w:name w:val="标题1"/>
    <w:basedOn w:val="1"/>
    <w:qFormat/>
    <w:uiPriority w:val="0"/>
    <w:rPr>
      <w:rFonts w:ascii="华文新魏" w:hAnsi="等线 Light" w:eastAsia="华文新魏" w:cs="华文楷体"/>
      <w:sz w:val="24"/>
    </w:rPr>
  </w:style>
  <w:style w:type="paragraph" w:customStyle="1" w:styleId="15">
    <w:name w:val="正文宋五"/>
    <w:basedOn w:val="1"/>
    <w:qFormat/>
    <w:uiPriority w:val="0"/>
    <w:pPr>
      <w:spacing w:line="400" w:lineRule="exact"/>
      <w:ind w:firstLine="420" w:firstLineChars="200"/>
    </w:pPr>
    <w:rPr>
      <w:rFonts w:ascii="Cambria Math" w:hAnsi="Cambria Math" w:eastAsia="等线 Light" w:cs="华文楷体"/>
    </w:rPr>
  </w:style>
  <w:style w:type="paragraph" w:customStyle="1" w:styleId="16">
    <w:name w:val="表题"/>
    <w:basedOn w:val="1"/>
    <w:qFormat/>
    <w:uiPriority w:val="0"/>
    <w:pPr>
      <w:spacing w:before="50" w:beforeLines="50" w:after="20" w:afterLines="20"/>
      <w:jc w:val="center"/>
    </w:pPr>
    <w:rPr>
      <w:rFonts w:ascii="Cambria Math" w:hAnsi="Cambria Math" w:eastAsia="等线 Light"/>
      <w:b/>
      <w:sz w:val="18"/>
    </w:rPr>
  </w:style>
  <w:style w:type="paragraph" w:customStyle="1" w:styleId="17">
    <w:name w:val="A正文五号"/>
    <w:basedOn w:val="1"/>
    <w:qFormat/>
    <w:uiPriority w:val="99"/>
    <w:pPr>
      <w:spacing w:line="276" w:lineRule="auto"/>
      <w:ind w:firstLine="420" w:firstLineChars="200"/>
    </w:pPr>
    <w:rPr>
      <w:rFonts w:ascii="等线 Light" w:hAnsi="等线 Light" w:eastAsia="等线 Light" w:cs="华文楷体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2246</Words>
  <Characters>2252</Characters>
  <Lines>25</Lines>
  <Paragraphs>7</Paragraphs>
  <TotalTime>5</TotalTime>
  <ScaleCrop>false</ScaleCrop>
  <LinksUpToDate>false</LinksUpToDate>
  <CharactersWithSpaces>2384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2025-04-24T10:06:00Z</dcterms:created>
  <dc:creator>JWC-322</dc:creator>
  <cp:lastModifiedBy>黄娟</cp:lastModifiedBy>
  <dcterms:modified xsi:type="dcterms:W3CDTF">2025-10-16T02:24:36Z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8DB076C6148C4D61A5EF878D925AC4F6_13</vt:lpwstr>
  </property>
  <property fmtid="{D5CDD505-2E9C-101B-9397-08002B2CF9AE}" pid="4" name="KSOTemplateDocerSaveRecord">
    <vt:lpwstr>eyJoZGlkIjoiNTZkNjM3YzYzOGQ5YTJiYzcyOWI5YjQ2OGVhMDg2OWYiLCJ1c2VySWQiOiI1NjI4ODc2MjEifQ==</vt:lpwstr>
  </property>
</Properties>
</file>