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2708F5">
      <w:pPr>
        <w:pageBreakBefore w:val="0"/>
        <w:widowControl w:val="0"/>
        <w:kinsoku/>
        <w:wordWrap/>
        <w:overflowPunct/>
        <w:topLinePunct w:val="0"/>
        <w:autoSpaceDE/>
        <w:autoSpaceDN/>
        <w:bidi w:val="0"/>
        <w:adjustRightInd/>
        <w:snapToGrid/>
        <w:spacing w:after="100" w:afterAutospacing="1" w:line="520" w:lineRule="exact"/>
        <w:textAlignment w:val="auto"/>
        <w:rPr>
          <w:rFonts w:ascii="仿宋_GB2312" w:eastAsia="仿宋_GB2312"/>
          <w:bCs/>
          <w:sz w:val="32"/>
          <w:szCs w:val="32"/>
        </w:rPr>
      </w:pPr>
      <w:r>
        <w:rPr>
          <w:rFonts w:hint="eastAsia" w:ascii="仿宋_GB2312" w:eastAsia="仿宋_GB2312"/>
          <w:bCs/>
          <w:sz w:val="32"/>
          <w:szCs w:val="32"/>
        </w:rPr>
        <w:t>附件2</w:t>
      </w:r>
    </w:p>
    <w:p w14:paraId="66DC8C3D">
      <w:pPr>
        <w:pageBreakBefore w:val="0"/>
        <w:widowControl w:val="0"/>
        <w:kinsoku/>
        <w:wordWrap/>
        <w:overflowPunct/>
        <w:topLinePunct w:val="0"/>
        <w:autoSpaceDE/>
        <w:autoSpaceDN/>
        <w:bidi w:val="0"/>
        <w:adjustRightInd/>
        <w:snapToGrid/>
        <w:spacing w:line="520" w:lineRule="exact"/>
        <w:jc w:val="center"/>
        <w:textAlignment w:val="auto"/>
        <w:rPr>
          <w:rFonts w:ascii="小标宋" w:hAnsi="华文中宋" w:eastAsia="小标宋"/>
          <w:color w:val="000000" w:themeColor="text1"/>
          <w:sz w:val="44"/>
          <w:szCs w:val="44"/>
          <w14:textFill>
            <w14:solidFill>
              <w14:schemeClr w14:val="tx1"/>
            </w14:solidFill>
          </w14:textFill>
        </w:rPr>
      </w:pPr>
      <w:r>
        <w:rPr>
          <w:rFonts w:hint="eastAsia" w:ascii="小标宋" w:hAnsi="华文中宋" w:eastAsia="小标宋"/>
          <w:sz w:val="44"/>
          <w:szCs w:val="44"/>
        </w:rPr>
        <w:t>北京林业大学2</w:t>
      </w:r>
      <w:r>
        <w:rPr>
          <w:rFonts w:hint="eastAsia" w:ascii="小标宋" w:hAnsi="华文中宋" w:eastAsia="小标宋"/>
          <w:color w:val="000000" w:themeColor="text1"/>
          <w:sz w:val="44"/>
          <w:szCs w:val="44"/>
          <w14:textFill>
            <w14:solidFill>
              <w14:schemeClr w14:val="tx1"/>
            </w14:solidFill>
          </w14:textFill>
        </w:rPr>
        <w:t>026年</w:t>
      </w:r>
    </w:p>
    <w:p w14:paraId="61E974D0">
      <w:pPr>
        <w:pageBreakBefore w:val="0"/>
        <w:widowControl w:val="0"/>
        <w:kinsoku/>
        <w:wordWrap/>
        <w:overflowPunct/>
        <w:topLinePunct w:val="0"/>
        <w:autoSpaceDE/>
        <w:autoSpaceDN/>
        <w:bidi w:val="0"/>
        <w:adjustRightInd/>
        <w:snapToGrid/>
        <w:spacing w:after="100" w:afterAutospacing="1" w:line="520" w:lineRule="exact"/>
        <w:jc w:val="center"/>
        <w:textAlignment w:val="auto"/>
        <w:rPr>
          <w:rFonts w:ascii="仿宋_GB2312" w:eastAsia="仿宋_GB2312"/>
          <w:bCs/>
          <w:sz w:val="32"/>
          <w:szCs w:val="32"/>
        </w:rPr>
      </w:pPr>
      <w:r>
        <w:rPr>
          <w:rFonts w:hint="eastAsia" w:ascii="小标宋" w:hAnsi="华文中宋" w:eastAsia="小标宋"/>
          <w:color w:val="000000" w:themeColor="text1"/>
          <w:sz w:val="44"/>
          <w:szCs w:val="44"/>
          <w14:textFill>
            <w14:solidFill>
              <w14:schemeClr w14:val="tx1"/>
            </w14:solidFill>
          </w14:textFill>
        </w:rPr>
        <w:t>教育教学改革与研究项目立</w:t>
      </w:r>
      <w:r>
        <w:rPr>
          <w:rFonts w:hint="eastAsia" w:ascii="小标宋" w:hAnsi="华文中宋" w:eastAsia="小标宋"/>
          <w:sz w:val="44"/>
          <w:szCs w:val="44"/>
        </w:rPr>
        <w:t>项说明</w:t>
      </w:r>
    </w:p>
    <w:p w14:paraId="072E2071">
      <w:pPr>
        <w:pageBreakBefore w:val="0"/>
        <w:widowControl w:val="0"/>
        <w:kinsoku/>
        <w:wordWrap/>
        <w:overflowPunct/>
        <w:topLinePunct w:val="0"/>
        <w:autoSpaceDE/>
        <w:autoSpaceDN/>
        <w:bidi w:val="0"/>
        <w:adjustRightInd/>
        <w:snapToGrid/>
        <w:spacing w:line="520" w:lineRule="exact"/>
        <w:ind w:right="57" w:firstLine="640" w:firstLineChars="200"/>
        <w:textAlignment w:val="auto"/>
        <w:rPr>
          <w:rFonts w:ascii="仿宋_GB2312" w:eastAsia="仿宋_GB2312"/>
          <w:bCs/>
          <w:sz w:val="32"/>
          <w:szCs w:val="32"/>
        </w:rPr>
      </w:pPr>
      <w:r>
        <w:rPr>
          <w:rFonts w:hint="eastAsia" w:ascii="仿宋_GB2312" w:eastAsia="仿宋_GB2312"/>
          <w:bCs/>
          <w:sz w:val="32"/>
          <w:szCs w:val="32"/>
        </w:rPr>
        <w:t>为贯彻落实《教育强国建设规划纲要(2024-2035年)》和《教育强国三年行动计划（2025-2027年）》要求，扎实</w:t>
      </w:r>
      <w:r>
        <w:rPr>
          <w:rFonts w:hint="eastAsia" w:ascii="仿宋_GB2312" w:hAnsi="宋体" w:eastAsia="仿宋_GB2312" w:cs="宋体"/>
          <w:kern w:val="0"/>
          <w:sz w:val="32"/>
          <w:szCs w:val="32"/>
        </w:rPr>
        <w:t>推进</w:t>
      </w:r>
      <w:r>
        <w:rPr>
          <w:rFonts w:hint="eastAsia" w:ascii="仿宋_GB2312" w:eastAsia="仿宋_GB2312"/>
          <w:bCs/>
          <w:sz w:val="32"/>
          <w:szCs w:val="32"/>
        </w:rPr>
        <w:t>我校</w:t>
      </w:r>
      <w:r>
        <w:rPr>
          <w:rFonts w:hint="eastAsia" w:ascii="仿宋_GB2312" w:hAnsi="宋体" w:eastAsia="仿宋_GB2312" w:cs="宋体"/>
          <w:kern w:val="0"/>
          <w:sz w:val="32"/>
          <w:szCs w:val="32"/>
        </w:rPr>
        <w:t>本科教育教学研究与改革实践</w:t>
      </w:r>
      <w:r>
        <w:rPr>
          <w:rFonts w:hint="eastAsia" w:ascii="仿宋_GB2312" w:eastAsia="仿宋_GB2312"/>
          <w:bCs/>
          <w:sz w:val="32"/>
          <w:szCs w:val="32"/>
        </w:rPr>
        <w:t>，进一步鼓励广大教师和教学管理人员聚焦本科教育教学重难点问题开展深入研究，产出一批高水平标志性教育教学成果，现发布2026年本科教育教学改革与研究项目立项说明。</w:t>
      </w:r>
    </w:p>
    <w:p w14:paraId="65443DE6">
      <w:pPr>
        <w:pStyle w:val="2"/>
        <w:pageBreakBefore w:val="0"/>
        <w:widowControl w:val="0"/>
        <w:kinsoku/>
        <w:wordWrap/>
        <w:overflowPunct/>
        <w:topLinePunct w:val="0"/>
        <w:autoSpaceDE/>
        <w:autoSpaceDN/>
        <w:bidi w:val="0"/>
        <w:adjustRightInd/>
        <w:snapToGrid/>
        <w:spacing w:before="100" w:beforeAutospacing="1" w:after="0" w:line="520" w:lineRule="exact"/>
        <w:ind w:firstLine="720" w:firstLineChars="200"/>
        <w:textAlignment w:val="auto"/>
        <w:rPr>
          <w:rFonts w:ascii="黑体" w:hAnsi="黑体" w:eastAsia="黑体"/>
          <w:b w:val="0"/>
          <w:bCs w:val="0"/>
          <w:sz w:val="36"/>
          <w:szCs w:val="36"/>
        </w:rPr>
      </w:pPr>
      <w:r>
        <w:rPr>
          <w:rFonts w:hint="eastAsia" w:ascii="黑体" w:hAnsi="黑体" w:eastAsia="黑体"/>
          <w:b w:val="0"/>
          <w:bCs w:val="0"/>
          <w:sz w:val="36"/>
          <w:szCs w:val="36"/>
        </w:rPr>
        <w:t>一、项目类别说明</w:t>
      </w:r>
    </w:p>
    <w:p w14:paraId="5F3E1D16">
      <w:pPr>
        <w:pageBreakBefore w:val="0"/>
        <w:widowControl w:val="0"/>
        <w:kinsoku/>
        <w:wordWrap/>
        <w:overflowPunct/>
        <w:topLinePunct w:val="0"/>
        <w:autoSpaceDE/>
        <w:autoSpaceDN/>
        <w:bidi w:val="0"/>
        <w:adjustRightInd/>
        <w:snapToGrid/>
        <w:spacing w:line="520" w:lineRule="exact"/>
        <w:ind w:right="57" w:firstLine="640" w:firstLineChars="200"/>
        <w:textAlignment w:val="auto"/>
        <w:rPr>
          <w:rFonts w:ascii="仿宋_GB2312" w:eastAsia="仿宋_GB2312"/>
          <w:bCs/>
          <w:sz w:val="32"/>
          <w:szCs w:val="32"/>
        </w:rPr>
      </w:pPr>
      <w:r>
        <w:rPr>
          <w:rFonts w:hint="eastAsia" w:ascii="仿宋_GB2312" w:eastAsia="仿宋_GB2312"/>
          <w:bCs/>
          <w:sz w:val="32"/>
          <w:szCs w:val="32"/>
        </w:rPr>
        <w:t>本年度本科教育教学改革与研究项目拟设立</w:t>
      </w:r>
      <w:r>
        <w:rPr>
          <w:rFonts w:hint="eastAsia" w:ascii="仿宋_GB2312" w:eastAsia="仿宋_GB2312"/>
          <w:b/>
          <w:sz w:val="32"/>
          <w:szCs w:val="32"/>
        </w:rPr>
        <w:t>本科教育教学综合改革优先突破专项</w:t>
      </w:r>
      <w:r>
        <w:rPr>
          <w:rFonts w:hint="eastAsia" w:ascii="仿宋_GB2312" w:eastAsia="仿宋_GB2312"/>
          <w:bCs/>
          <w:sz w:val="32"/>
          <w:szCs w:val="32"/>
        </w:rPr>
        <w:t>、</w:t>
      </w:r>
      <w:bookmarkStart w:id="0" w:name="_Hlk225497826"/>
      <w:r>
        <w:rPr>
          <w:rFonts w:hint="eastAsia" w:ascii="仿宋_GB2312" w:eastAsia="仿宋_GB2312"/>
          <w:b/>
          <w:sz w:val="32"/>
          <w:szCs w:val="32"/>
        </w:rPr>
        <w:t>本科</w:t>
      </w:r>
      <w:bookmarkEnd w:id="0"/>
      <w:r>
        <w:rPr>
          <w:rFonts w:hint="eastAsia" w:ascii="仿宋_GB2312" w:eastAsia="仿宋_GB2312"/>
          <w:b/>
          <w:sz w:val="32"/>
          <w:szCs w:val="32"/>
        </w:rPr>
        <w:t>教育教学成果奖培育专项</w:t>
      </w:r>
      <w:r>
        <w:rPr>
          <w:rFonts w:hint="eastAsia" w:ascii="仿宋_GB2312" w:eastAsia="仿宋_GB2312"/>
          <w:bCs/>
          <w:sz w:val="32"/>
          <w:szCs w:val="32"/>
        </w:rPr>
        <w:t>和</w:t>
      </w:r>
      <w:r>
        <w:rPr>
          <w:rFonts w:hint="eastAsia" w:ascii="仿宋_GB2312" w:eastAsia="仿宋_GB2312"/>
          <w:b/>
          <w:sz w:val="32"/>
          <w:szCs w:val="32"/>
        </w:rPr>
        <w:t>自由探索支持项目三</w:t>
      </w:r>
      <w:r>
        <w:rPr>
          <w:rFonts w:hint="eastAsia" w:ascii="仿宋_GB2312" w:eastAsia="仿宋_GB2312"/>
          <w:bCs/>
          <w:sz w:val="32"/>
          <w:szCs w:val="32"/>
        </w:rPr>
        <w:t>大类。</w:t>
      </w:r>
    </w:p>
    <w:p w14:paraId="00D6A5FF">
      <w:pPr>
        <w:pStyle w:val="3"/>
        <w:pageBreakBefore w:val="0"/>
        <w:widowControl w:val="0"/>
        <w:kinsoku/>
        <w:wordWrap/>
        <w:overflowPunct/>
        <w:topLinePunct w:val="0"/>
        <w:autoSpaceDE/>
        <w:autoSpaceDN/>
        <w:bidi w:val="0"/>
        <w:adjustRightInd/>
        <w:snapToGrid/>
        <w:spacing w:before="0" w:after="0" w:line="520" w:lineRule="exact"/>
        <w:ind w:firstLine="643" w:firstLineChars="200"/>
        <w:textAlignment w:val="auto"/>
        <w:rPr>
          <w:rFonts w:ascii="仿宋_GB2312" w:eastAsia="仿宋_GB2312"/>
        </w:rPr>
      </w:pPr>
      <w:r>
        <w:rPr>
          <w:rFonts w:hint="eastAsia" w:ascii="仿宋_GB2312" w:eastAsia="仿宋_GB2312"/>
        </w:rPr>
        <w:t>（一）本科教育教学综合改革优先突破专项</w:t>
      </w:r>
    </w:p>
    <w:p w14:paraId="3EFCFDE6">
      <w:pPr>
        <w:pageBreakBefore w:val="0"/>
        <w:widowControl w:val="0"/>
        <w:kinsoku/>
        <w:wordWrap/>
        <w:overflowPunct/>
        <w:topLinePunct w:val="0"/>
        <w:autoSpaceDE/>
        <w:autoSpaceDN/>
        <w:bidi w:val="0"/>
        <w:adjustRightInd/>
        <w:snapToGrid/>
        <w:spacing w:line="520" w:lineRule="exact"/>
        <w:ind w:right="57" w:firstLine="643" w:firstLineChars="200"/>
        <w:textAlignment w:val="auto"/>
        <w:rPr>
          <w:rFonts w:ascii="仿宋_GB2312" w:eastAsia="仿宋_GB2312"/>
          <w:b/>
          <w:sz w:val="32"/>
          <w:szCs w:val="32"/>
        </w:rPr>
      </w:pPr>
      <w:bookmarkStart w:id="1" w:name="OLE_LINK2"/>
      <w:r>
        <w:rPr>
          <w:rFonts w:hint="eastAsia" w:ascii="仿宋_GB2312" w:eastAsia="仿宋_GB2312"/>
          <w:b/>
          <w:sz w:val="32"/>
          <w:szCs w:val="32"/>
        </w:rPr>
        <w:t>如获批准，拟按重点项目立项，并从中遴选一批通过评审答辩，确立为重大项目，将持续支持</w:t>
      </w:r>
      <w:r>
        <w:rPr>
          <w:rFonts w:hint="eastAsia" w:ascii="仿宋_GB2312" w:eastAsia="仿宋_GB2312"/>
          <w:b/>
          <w:sz w:val="32"/>
          <w:szCs w:val="32"/>
          <w:lang w:val="en-US" w:eastAsia="zh-CN"/>
        </w:rPr>
        <w:t>2</w:t>
      </w:r>
      <w:r>
        <w:rPr>
          <w:rFonts w:ascii="仿宋_GB2312" w:eastAsia="仿宋_GB2312"/>
          <w:b/>
          <w:sz w:val="32"/>
          <w:szCs w:val="32"/>
        </w:rPr>
        <w:t>-</w:t>
      </w:r>
      <w:r>
        <w:rPr>
          <w:rFonts w:hint="eastAsia" w:ascii="仿宋_GB2312" w:eastAsia="仿宋_GB2312"/>
          <w:b/>
          <w:sz w:val="32"/>
          <w:szCs w:val="32"/>
        </w:rPr>
        <w:t>4年。</w:t>
      </w:r>
      <w:bookmarkEnd w:id="1"/>
    </w:p>
    <w:p w14:paraId="2CF9014D">
      <w:pPr>
        <w:pageBreakBefore w:val="0"/>
        <w:widowControl w:val="0"/>
        <w:kinsoku/>
        <w:wordWrap/>
        <w:overflowPunct/>
        <w:topLinePunct w:val="0"/>
        <w:autoSpaceDE/>
        <w:autoSpaceDN/>
        <w:bidi w:val="0"/>
        <w:adjustRightInd/>
        <w:snapToGrid/>
        <w:spacing w:line="520" w:lineRule="exact"/>
        <w:ind w:right="57" w:firstLine="640" w:firstLineChars="200"/>
        <w:textAlignment w:val="auto"/>
        <w:rPr>
          <w:rFonts w:hint="default" w:ascii="仿宋_GB2312" w:eastAsia="仿宋_GB2312"/>
          <w:b/>
          <w:sz w:val="32"/>
          <w:szCs w:val="32"/>
          <w:lang w:val="en-US" w:eastAsia="zh-CN"/>
        </w:rPr>
      </w:pPr>
      <w:r>
        <w:rPr>
          <w:rFonts w:hint="eastAsia" w:ascii="仿宋_GB2312" w:eastAsia="仿宋_GB2312"/>
          <w:bCs/>
          <w:sz w:val="32"/>
          <w:szCs w:val="32"/>
        </w:rPr>
        <w:t>面向国家战略需求与行业变革要求，聚焦新时代拔尖创新人才培养这一核心使命，加快探索形成一批可复制、可推广的高水平教育教学改革新范式，产出一批高水平、彰显度高的标志性教育教学研究成果。</w:t>
      </w:r>
      <w:r>
        <w:rPr>
          <w:rFonts w:hint="eastAsia" w:ascii="仿宋_GB2312" w:eastAsia="仿宋_GB2312"/>
          <w:b/>
          <w:sz w:val="32"/>
          <w:szCs w:val="32"/>
        </w:rPr>
        <w:t>以下各选题方向每个教学单位</w:t>
      </w:r>
      <w:r>
        <w:rPr>
          <w:rFonts w:hint="eastAsia" w:ascii="仿宋_GB2312" w:eastAsia="仿宋_GB2312"/>
          <w:b/>
          <w:sz w:val="32"/>
          <w:szCs w:val="32"/>
          <w:lang w:val="en-US" w:eastAsia="zh-CN"/>
        </w:rPr>
        <w:t>原则上</w:t>
      </w:r>
      <w:r>
        <w:rPr>
          <w:rFonts w:hint="eastAsia" w:ascii="仿宋_GB2312" w:eastAsia="仿宋_GB2312"/>
          <w:b/>
          <w:sz w:val="32"/>
          <w:szCs w:val="32"/>
        </w:rPr>
        <w:t>限报</w:t>
      </w:r>
      <w:r>
        <w:rPr>
          <w:rFonts w:hint="eastAsia" w:ascii="仿宋_GB2312" w:eastAsia="仿宋_GB2312"/>
          <w:b/>
          <w:sz w:val="32"/>
          <w:szCs w:val="32"/>
          <w:lang w:val="en-US" w:eastAsia="zh-CN"/>
        </w:rPr>
        <w:t>1</w:t>
      </w:r>
      <w:r>
        <w:rPr>
          <w:rFonts w:hint="eastAsia" w:ascii="仿宋_GB2312" w:eastAsia="仿宋_GB2312"/>
          <w:b/>
          <w:sz w:val="32"/>
          <w:szCs w:val="32"/>
        </w:rPr>
        <w:t>项</w:t>
      </w:r>
      <w:r>
        <w:rPr>
          <w:rFonts w:hint="eastAsia" w:ascii="仿宋_GB2312" w:eastAsia="仿宋_GB2312"/>
          <w:bCs/>
          <w:sz w:val="32"/>
          <w:szCs w:val="32"/>
        </w:rPr>
        <w:t>。</w:t>
      </w:r>
      <w:r>
        <w:rPr>
          <w:rFonts w:hint="eastAsia" w:ascii="仿宋_GB2312" w:eastAsia="仿宋_GB2312"/>
          <w:b/>
          <w:sz w:val="32"/>
          <w:szCs w:val="32"/>
          <w:lang w:val="en-US" w:eastAsia="zh-CN"/>
        </w:rPr>
        <w:t>若年度进展汇报评价为“不合格”，则停止对项目的支持。</w:t>
      </w:r>
    </w:p>
    <w:p w14:paraId="5A9B65E9">
      <w:pPr>
        <w:pageBreakBefore w:val="0"/>
        <w:widowControl w:val="0"/>
        <w:kinsoku/>
        <w:wordWrap/>
        <w:overflowPunct/>
        <w:topLinePunct w:val="0"/>
        <w:autoSpaceDE/>
        <w:autoSpaceDN/>
        <w:bidi w:val="0"/>
        <w:adjustRightInd/>
        <w:snapToGrid/>
        <w:spacing w:line="520" w:lineRule="exact"/>
        <w:ind w:right="57" w:firstLine="640" w:firstLineChars="200"/>
        <w:textAlignment w:val="auto"/>
        <w:rPr>
          <w:rFonts w:ascii="仿宋_GB2312" w:eastAsia="仿宋_GB2312"/>
          <w:bCs/>
          <w:sz w:val="32"/>
          <w:szCs w:val="32"/>
        </w:rPr>
      </w:pPr>
      <w:r>
        <w:rPr>
          <w:rFonts w:hint="eastAsia" w:ascii="仿宋_GB2312" w:eastAsia="仿宋_GB2312"/>
          <w:bCs/>
          <w:sz w:val="32"/>
          <w:szCs w:val="32"/>
        </w:rPr>
        <w:t>选题方向包括：</w:t>
      </w:r>
    </w:p>
    <w:p w14:paraId="39502AE2">
      <w:pPr>
        <w:pageBreakBefore w:val="0"/>
        <w:widowControl w:val="0"/>
        <w:kinsoku/>
        <w:wordWrap/>
        <w:overflowPunct/>
        <w:topLinePunct w:val="0"/>
        <w:autoSpaceDE/>
        <w:autoSpaceDN/>
        <w:bidi w:val="0"/>
        <w:adjustRightInd/>
        <w:snapToGrid/>
        <w:spacing w:line="520" w:lineRule="exact"/>
        <w:ind w:right="57" w:firstLine="640" w:firstLineChars="200"/>
        <w:textAlignment w:val="auto"/>
        <w:rPr>
          <w:rFonts w:ascii="仿宋_GB2312" w:eastAsia="仿宋_GB2312"/>
          <w:bCs/>
          <w:sz w:val="32"/>
          <w:szCs w:val="32"/>
        </w:rPr>
      </w:pPr>
      <w:r>
        <w:rPr>
          <w:rFonts w:hint="eastAsia" w:ascii="仿宋_GB2312" w:eastAsia="仿宋_GB2312"/>
          <w:bCs/>
          <w:sz w:val="32"/>
          <w:szCs w:val="32"/>
        </w:rPr>
        <w:t>1.探索教育科技人才一体化改革示范学院或示范专业建设的创新路径。</w:t>
      </w:r>
    </w:p>
    <w:p w14:paraId="2CE3F8A1">
      <w:pPr>
        <w:pageBreakBefore w:val="0"/>
        <w:widowControl w:val="0"/>
        <w:kinsoku/>
        <w:wordWrap/>
        <w:overflowPunct/>
        <w:topLinePunct w:val="0"/>
        <w:autoSpaceDE/>
        <w:autoSpaceDN/>
        <w:bidi w:val="0"/>
        <w:adjustRightInd/>
        <w:snapToGrid/>
        <w:spacing w:line="520" w:lineRule="exact"/>
        <w:ind w:right="57" w:firstLine="640" w:firstLineChars="200"/>
        <w:textAlignment w:val="auto"/>
        <w:rPr>
          <w:rFonts w:ascii="仿宋_GB2312" w:eastAsia="仿宋_GB2312"/>
          <w:bCs/>
          <w:sz w:val="32"/>
          <w:szCs w:val="32"/>
        </w:rPr>
      </w:pPr>
      <w:r>
        <w:rPr>
          <w:rFonts w:hint="eastAsia" w:ascii="仿宋_GB2312" w:eastAsia="仿宋_GB2312"/>
          <w:bCs/>
          <w:sz w:val="32"/>
          <w:szCs w:val="32"/>
        </w:rPr>
        <w:t>2.探索新质新域教育综合改革的路径与模式。</w:t>
      </w:r>
    </w:p>
    <w:p w14:paraId="120EBB4D">
      <w:pPr>
        <w:pageBreakBefore w:val="0"/>
        <w:widowControl w:val="0"/>
        <w:kinsoku/>
        <w:wordWrap/>
        <w:overflowPunct/>
        <w:topLinePunct w:val="0"/>
        <w:autoSpaceDE/>
        <w:autoSpaceDN/>
        <w:bidi w:val="0"/>
        <w:adjustRightInd/>
        <w:snapToGrid/>
        <w:spacing w:line="520" w:lineRule="exact"/>
        <w:ind w:right="57" w:firstLine="640" w:firstLineChars="200"/>
        <w:textAlignment w:val="auto"/>
        <w:rPr>
          <w:rFonts w:ascii="仿宋_GB2312" w:eastAsia="仿宋_GB2312"/>
          <w:bCs/>
          <w:sz w:val="32"/>
          <w:szCs w:val="32"/>
        </w:rPr>
      </w:pPr>
      <w:r>
        <w:rPr>
          <w:rFonts w:hint="eastAsia" w:ascii="仿宋_GB2312" w:eastAsia="仿宋_GB2312"/>
          <w:bCs/>
          <w:sz w:val="32"/>
          <w:szCs w:val="32"/>
        </w:rPr>
        <w:t>3.加快推进专业与课程快速迭代升级的路径与机制。</w:t>
      </w:r>
    </w:p>
    <w:p w14:paraId="6538DC2F">
      <w:pPr>
        <w:pageBreakBefore w:val="0"/>
        <w:widowControl w:val="0"/>
        <w:kinsoku/>
        <w:wordWrap/>
        <w:overflowPunct/>
        <w:topLinePunct w:val="0"/>
        <w:autoSpaceDE/>
        <w:autoSpaceDN/>
        <w:bidi w:val="0"/>
        <w:adjustRightInd/>
        <w:snapToGrid/>
        <w:spacing w:line="520" w:lineRule="exact"/>
        <w:ind w:right="57" w:firstLine="640" w:firstLineChars="200"/>
        <w:textAlignment w:val="auto"/>
        <w:rPr>
          <w:rFonts w:ascii="仿宋_GB2312" w:eastAsia="仿宋_GB2312"/>
          <w:bCs/>
          <w:sz w:val="32"/>
          <w:szCs w:val="32"/>
        </w:rPr>
      </w:pPr>
      <w:r>
        <w:rPr>
          <w:rFonts w:hint="eastAsia" w:ascii="仿宋_GB2312" w:eastAsia="仿宋_GB2312"/>
          <w:bCs/>
          <w:sz w:val="32"/>
          <w:szCs w:val="32"/>
        </w:rPr>
        <w:t>4.深化科教融汇、产教融合协同育人机制改革。</w:t>
      </w:r>
    </w:p>
    <w:p w14:paraId="76FF8732">
      <w:pPr>
        <w:pageBreakBefore w:val="0"/>
        <w:widowControl w:val="0"/>
        <w:kinsoku/>
        <w:wordWrap/>
        <w:overflowPunct/>
        <w:topLinePunct w:val="0"/>
        <w:autoSpaceDE/>
        <w:autoSpaceDN/>
        <w:bidi w:val="0"/>
        <w:adjustRightInd/>
        <w:snapToGrid/>
        <w:spacing w:line="520" w:lineRule="exact"/>
        <w:ind w:right="57" w:firstLine="640" w:firstLineChars="200"/>
        <w:textAlignment w:val="auto"/>
        <w:rPr>
          <w:rFonts w:ascii="仿宋_GB2312" w:eastAsia="仿宋_GB2312"/>
          <w:bCs/>
          <w:sz w:val="32"/>
          <w:szCs w:val="32"/>
        </w:rPr>
      </w:pPr>
      <w:r>
        <w:rPr>
          <w:rFonts w:hint="eastAsia" w:ascii="仿宋_GB2312" w:eastAsia="仿宋_GB2312"/>
          <w:bCs/>
          <w:sz w:val="32"/>
          <w:szCs w:val="32"/>
        </w:rPr>
        <w:t>5.深化创新创业教育综合改革，加快培育中国国际大学生创新大赛等高水平学科竞赛机制。</w:t>
      </w:r>
    </w:p>
    <w:p w14:paraId="030913C0">
      <w:pPr>
        <w:pageBreakBefore w:val="0"/>
        <w:widowControl w:val="0"/>
        <w:kinsoku/>
        <w:wordWrap/>
        <w:overflowPunct/>
        <w:topLinePunct w:val="0"/>
        <w:autoSpaceDE/>
        <w:autoSpaceDN/>
        <w:bidi w:val="0"/>
        <w:adjustRightInd/>
        <w:snapToGrid/>
        <w:spacing w:line="520" w:lineRule="exact"/>
        <w:ind w:right="57" w:firstLine="640" w:firstLineChars="200"/>
        <w:textAlignment w:val="auto"/>
        <w:rPr>
          <w:rFonts w:ascii="仿宋_GB2312" w:eastAsia="仿宋_GB2312"/>
          <w:bCs/>
          <w:sz w:val="32"/>
          <w:szCs w:val="32"/>
        </w:rPr>
      </w:pPr>
      <w:r>
        <w:rPr>
          <w:rFonts w:hint="eastAsia" w:ascii="仿宋_GB2312" w:eastAsia="仿宋_GB2312"/>
          <w:bCs/>
          <w:sz w:val="32"/>
          <w:szCs w:val="32"/>
        </w:rPr>
        <w:t>6.聚焦智慧林业、生态修复、生物育种、国家公园、智慧人居环境等生态文明建设关键领域“101计划”项目培育的路径与机制。</w:t>
      </w:r>
    </w:p>
    <w:p w14:paraId="5B5E3279">
      <w:pPr>
        <w:pageBreakBefore w:val="0"/>
        <w:widowControl w:val="0"/>
        <w:kinsoku/>
        <w:wordWrap/>
        <w:overflowPunct/>
        <w:topLinePunct w:val="0"/>
        <w:autoSpaceDE/>
        <w:autoSpaceDN/>
        <w:bidi w:val="0"/>
        <w:adjustRightInd/>
        <w:snapToGrid/>
        <w:spacing w:line="520" w:lineRule="exact"/>
        <w:ind w:right="57" w:firstLine="640" w:firstLineChars="200"/>
        <w:textAlignment w:val="auto"/>
        <w:rPr>
          <w:rFonts w:ascii="仿宋_GB2312" w:eastAsia="仿宋_GB2312"/>
          <w:bCs/>
          <w:sz w:val="32"/>
          <w:szCs w:val="32"/>
        </w:rPr>
      </w:pPr>
      <w:r>
        <w:rPr>
          <w:rFonts w:hint="eastAsia" w:ascii="仿宋_GB2312" w:eastAsia="仿宋_GB2312"/>
          <w:bCs/>
          <w:sz w:val="32"/>
          <w:szCs w:val="32"/>
        </w:rPr>
        <w:t>7.聚焦考试改革、学生学分制改革、本科毕业论文（设计）改革等重点领域</w:t>
      </w:r>
      <w:r>
        <w:rPr>
          <w:rFonts w:hint="eastAsia" w:ascii="仿宋_GB2312" w:eastAsia="仿宋_GB2312"/>
          <w:bCs/>
          <w:sz w:val="32"/>
          <w:szCs w:val="32"/>
          <w:lang w:eastAsia="zh-CN"/>
        </w:rPr>
        <w:t>，</w:t>
      </w:r>
      <w:r>
        <w:rPr>
          <w:rFonts w:hint="eastAsia" w:ascii="仿宋_GB2312" w:eastAsia="仿宋_GB2312"/>
          <w:bCs/>
          <w:sz w:val="32"/>
          <w:szCs w:val="32"/>
        </w:rPr>
        <w:t>深化拔尖创新人才培养体制机制综合改革。</w:t>
      </w:r>
    </w:p>
    <w:p w14:paraId="3B540CAA">
      <w:pPr>
        <w:pageBreakBefore w:val="0"/>
        <w:widowControl w:val="0"/>
        <w:kinsoku/>
        <w:wordWrap/>
        <w:overflowPunct/>
        <w:topLinePunct w:val="0"/>
        <w:autoSpaceDE/>
        <w:autoSpaceDN/>
        <w:bidi w:val="0"/>
        <w:adjustRightInd/>
        <w:snapToGrid/>
        <w:spacing w:line="520" w:lineRule="exact"/>
        <w:ind w:right="57" w:firstLine="640" w:firstLineChars="200"/>
        <w:textAlignment w:val="auto"/>
        <w:rPr>
          <w:rFonts w:hint="eastAsia" w:ascii="仿宋_GB2312" w:eastAsia="仿宋_GB2312"/>
          <w:bCs/>
          <w:sz w:val="32"/>
          <w:szCs w:val="32"/>
        </w:rPr>
      </w:pPr>
      <w:r>
        <w:rPr>
          <w:rFonts w:hint="eastAsia" w:ascii="仿宋_GB2312" w:eastAsia="仿宋_GB2312"/>
          <w:bCs/>
          <w:sz w:val="32"/>
          <w:szCs w:val="32"/>
        </w:rPr>
        <w:t>8.聚焦专业迭代升级、课程教学范式创新等重点领域探索人工智能助力高等教育变革的路径与机制。</w:t>
      </w:r>
    </w:p>
    <w:p w14:paraId="31CF6477">
      <w:pPr>
        <w:pageBreakBefore w:val="0"/>
        <w:widowControl w:val="0"/>
        <w:kinsoku/>
        <w:wordWrap/>
        <w:overflowPunct/>
        <w:topLinePunct w:val="0"/>
        <w:autoSpaceDE/>
        <w:autoSpaceDN/>
        <w:bidi w:val="0"/>
        <w:adjustRightInd/>
        <w:snapToGrid/>
        <w:spacing w:line="520" w:lineRule="exact"/>
        <w:ind w:right="57" w:firstLine="640" w:firstLineChars="200"/>
        <w:textAlignment w:val="auto"/>
        <w:rPr>
          <w:rFonts w:ascii="仿宋_GB2312" w:eastAsia="仿宋_GB2312"/>
          <w:bCs/>
          <w:sz w:val="32"/>
          <w:szCs w:val="32"/>
        </w:rPr>
      </w:pPr>
      <w:r>
        <w:rPr>
          <w:rFonts w:hint="eastAsia" w:ascii="仿宋_GB2312" w:eastAsia="仿宋_GB2312"/>
          <w:bCs/>
          <w:sz w:val="32"/>
          <w:szCs w:val="32"/>
        </w:rPr>
        <w:t>9.深入开展分领域思想融入课程的示范课程与典型案例建设。</w:t>
      </w:r>
    </w:p>
    <w:p w14:paraId="388C424E">
      <w:pPr>
        <w:pageBreakBefore w:val="0"/>
        <w:widowControl w:val="0"/>
        <w:kinsoku/>
        <w:wordWrap/>
        <w:overflowPunct/>
        <w:topLinePunct w:val="0"/>
        <w:autoSpaceDE/>
        <w:autoSpaceDN/>
        <w:bidi w:val="0"/>
        <w:adjustRightInd/>
        <w:snapToGrid/>
        <w:spacing w:line="520" w:lineRule="exact"/>
        <w:ind w:right="57" w:firstLine="640" w:firstLineChars="200"/>
        <w:textAlignment w:val="auto"/>
        <w:rPr>
          <w:rFonts w:ascii="仿宋_GB2312" w:eastAsia="仿宋_GB2312"/>
          <w:bCs/>
          <w:sz w:val="32"/>
          <w:szCs w:val="32"/>
        </w:rPr>
      </w:pPr>
      <w:r>
        <w:rPr>
          <w:rFonts w:hint="eastAsia" w:ascii="仿宋_GB2312" w:eastAsia="仿宋_GB2312"/>
          <w:bCs/>
          <w:sz w:val="32"/>
          <w:szCs w:val="32"/>
        </w:rPr>
        <w:t>10.国家产教融合创新平台</w:t>
      </w:r>
      <w:r>
        <w:rPr>
          <w:rFonts w:hint="eastAsia" w:ascii="仿宋_GB2312" w:eastAsia="仿宋_GB2312"/>
          <w:bCs/>
          <w:sz w:val="32"/>
          <w:szCs w:val="32"/>
          <w:lang w:val="en-US" w:eastAsia="zh-CN"/>
        </w:rPr>
        <w:t>建设</w:t>
      </w:r>
      <w:r>
        <w:rPr>
          <w:rFonts w:hint="eastAsia" w:ascii="仿宋_GB2312" w:eastAsia="仿宋_GB2312"/>
          <w:bCs/>
          <w:sz w:val="32"/>
          <w:szCs w:val="32"/>
        </w:rPr>
        <w:t>路径</w:t>
      </w:r>
      <w:r>
        <w:rPr>
          <w:rFonts w:hint="eastAsia" w:ascii="仿宋_GB2312" w:eastAsia="仿宋_GB2312"/>
          <w:bCs/>
          <w:sz w:val="32"/>
          <w:szCs w:val="32"/>
          <w:lang w:val="en-US" w:eastAsia="zh-CN"/>
        </w:rPr>
        <w:t>与机制研究</w:t>
      </w:r>
      <w:r>
        <w:rPr>
          <w:rFonts w:hint="eastAsia" w:ascii="仿宋_GB2312" w:eastAsia="仿宋_GB2312"/>
          <w:bCs/>
          <w:sz w:val="32"/>
          <w:szCs w:val="32"/>
        </w:rPr>
        <w:t>。</w:t>
      </w:r>
    </w:p>
    <w:p w14:paraId="7DCC1239">
      <w:pPr>
        <w:pStyle w:val="3"/>
        <w:pageBreakBefore w:val="0"/>
        <w:widowControl w:val="0"/>
        <w:kinsoku/>
        <w:wordWrap/>
        <w:overflowPunct/>
        <w:topLinePunct w:val="0"/>
        <w:autoSpaceDE/>
        <w:autoSpaceDN/>
        <w:bidi w:val="0"/>
        <w:adjustRightInd/>
        <w:snapToGrid/>
        <w:spacing w:before="0" w:after="0" w:line="520" w:lineRule="exact"/>
        <w:ind w:firstLine="643" w:firstLineChars="200"/>
        <w:textAlignment w:val="auto"/>
        <w:rPr>
          <w:rFonts w:ascii="仿宋_GB2312" w:eastAsia="仿宋_GB2312"/>
        </w:rPr>
      </w:pPr>
      <w:r>
        <w:rPr>
          <w:rFonts w:hint="eastAsia" w:ascii="仿宋_GB2312" w:eastAsia="仿宋_GB2312"/>
        </w:rPr>
        <w:t>（二）本科教育教学成果奖培育专项</w:t>
      </w:r>
    </w:p>
    <w:p w14:paraId="227F599C">
      <w:pPr>
        <w:pageBreakBefore w:val="0"/>
        <w:widowControl w:val="0"/>
        <w:kinsoku/>
        <w:wordWrap/>
        <w:overflowPunct/>
        <w:topLinePunct w:val="0"/>
        <w:autoSpaceDE/>
        <w:autoSpaceDN/>
        <w:bidi w:val="0"/>
        <w:adjustRightInd/>
        <w:snapToGrid/>
        <w:spacing w:line="520" w:lineRule="exact"/>
        <w:ind w:right="57" w:firstLine="643" w:firstLineChars="200"/>
        <w:textAlignment w:val="auto"/>
        <w:rPr>
          <w:rFonts w:hint="default" w:ascii="仿宋_GB2312" w:eastAsia="仿宋_GB2312"/>
          <w:b/>
          <w:sz w:val="32"/>
          <w:szCs w:val="32"/>
          <w:lang w:val="en-US" w:eastAsia="zh-CN"/>
        </w:rPr>
      </w:pPr>
      <w:r>
        <w:rPr>
          <w:rFonts w:hint="eastAsia" w:ascii="仿宋_GB2312" w:eastAsia="仿宋_GB2312"/>
          <w:b/>
          <w:sz w:val="32"/>
          <w:szCs w:val="32"/>
        </w:rPr>
        <w:t>如获批准，拟按重点项目立项，并从中遴选一批通过评审答辩，确立为重大项目，将持续支持</w:t>
      </w:r>
      <w:r>
        <w:rPr>
          <w:rFonts w:hint="eastAsia" w:ascii="仿宋_GB2312" w:eastAsia="仿宋_GB2312"/>
          <w:b/>
          <w:sz w:val="32"/>
          <w:szCs w:val="32"/>
          <w:lang w:val="en-US" w:eastAsia="zh-CN"/>
        </w:rPr>
        <w:t>2</w:t>
      </w:r>
      <w:r>
        <w:rPr>
          <w:rFonts w:ascii="仿宋_GB2312" w:eastAsia="仿宋_GB2312"/>
          <w:b/>
          <w:sz w:val="32"/>
          <w:szCs w:val="32"/>
        </w:rPr>
        <w:t>-</w:t>
      </w:r>
      <w:r>
        <w:rPr>
          <w:rFonts w:hint="eastAsia" w:ascii="仿宋_GB2312" w:eastAsia="仿宋_GB2312"/>
          <w:b/>
          <w:sz w:val="32"/>
          <w:szCs w:val="32"/>
        </w:rPr>
        <w:t>4年。</w:t>
      </w:r>
      <w:r>
        <w:rPr>
          <w:rFonts w:hint="eastAsia" w:ascii="仿宋_GB2312" w:eastAsia="仿宋_GB2312"/>
          <w:b/>
          <w:sz w:val="32"/>
          <w:szCs w:val="32"/>
          <w:lang w:val="en-US" w:eastAsia="zh-CN"/>
        </w:rPr>
        <w:t>若年度进展汇报评价为“不合格”，则停止对项目的支持。</w:t>
      </w:r>
    </w:p>
    <w:p w14:paraId="3A355EFC">
      <w:pPr>
        <w:pageBreakBefore w:val="0"/>
        <w:widowControl w:val="0"/>
        <w:kinsoku/>
        <w:wordWrap/>
        <w:overflowPunct/>
        <w:topLinePunct w:val="0"/>
        <w:autoSpaceDE/>
        <w:autoSpaceDN/>
        <w:bidi w:val="0"/>
        <w:adjustRightInd/>
        <w:snapToGrid/>
        <w:spacing w:line="520" w:lineRule="exact"/>
        <w:ind w:right="57" w:firstLine="640" w:firstLineChars="200"/>
        <w:textAlignment w:val="auto"/>
        <w:rPr>
          <w:rFonts w:ascii="仿宋_GB2312" w:eastAsia="仿宋_GB2312"/>
          <w:bCs/>
          <w:sz w:val="32"/>
          <w:szCs w:val="32"/>
        </w:rPr>
      </w:pPr>
      <w:r>
        <w:rPr>
          <w:rFonts w:hint="eastAsia" w:ascii="仿宋_GB2312" w:eastAsia="仿宋_GB2312"/>
          <w:bCs/>
          <w:sz w:val="32"/>
          <w:szCs w:val="32"/>
        </w:rPr>
        <w:t>在深入总结本单位本科教育教学改革经验与特色基础上，聚焦教育教学成果奖申报开展一流本科教育综合改革研究，进一步围绕成果培育、提炼升华、范式构建、推广应用等核心问题，探索形成一批具有创新性、示范性、推广价值的教育教学改革成果与制度体系，全面提升本科教育教学质量与办学水平，为冲击高水平教育教学成果奖奠定坚实基础。鼓励各院系开展跨学校、跨学科、跨校所、跨校企合作，探索建立跨界育人共同体。选题要围绕当前我国本科教育教学综合改革的痛点与淤点问题，突出学校特色、学科特色与创新性。</w:t>
      </w:r>
      <w:r>
        <w:rPr>
          <w:rFonts w:hint="eastAsia" w:ascii="仿宋_GB2312" w:eastAsia="仿宋_GB2312"/>
          <w:b/>
          <w:sz w:val="32"/>
          <w:szCs w:val="32"/>
        </w:rPr>
        <w:t>每个教学单位限报2项</w:t>
      </w:r>
      <w:r>
        <w:rPr>
          <w:rFonts w:hint="eastAsia" w:ascii="仿宋_GB2312" w:eastAsia="仿宋_GB2312"/>
          <w:bCs/>
          <w:sz w:val="32"/>
          <w:szCs w:val="32"/>
        </w:rPr>
        <w:t>。</w:t>
      </w:r>
    </w:p>
    <w:p w14:paraId="65E39D83">
      <w:pPr>
        <w:pStyle w:val="3"/>
        <w:pageBreakBefore w:val="0"/>
        <w:widowControl w:val="0"/>
        <w:kinsoku/>
        <w:wordWrap/>
        <w:overflowPunct/>
        <w:topLinePunct w:val="0"/>
        <w:autoSpaceDE/>
        <w:autoSpaceDN/>
        <w:bidi w:val="0"/>
        <w:adjustRightInd/>
        <w:snapToGrid/>
        <w:spacing w:before="0" w:after="0" w:line="520" w:lineRule="exact"/>
        <w:ind w:firstLine="643" w:firstLineChars="200"/>
        <w:textAlignment w:val="auto"/>
        <w:rPr>
          <w:rFonts w:ascii="仿宋_GB2312" w:eastAsia="仿宋_GB2312"/>
        </w:rPr>
      </w:pPr>
      <w:r>
        <w:rPr>
          <w:rFonts w:hint="eastAsia" w:ascii="仿宋_GB2312" w:eastAsia="仿宋_GB2312"/>
        </w:rPr>
        <w:t>（三）自由探索支持项目</w:t>
      </w:r>
    </w:p>
    <w:p w14:paraId="23D3BE43">
      <w:pPr>
        <w:pageBreakBefore w:val="0"/>
        <w:widowControl w:val="0"/>
        <w:kinsoku/>
        <w:wordWrap/>
        <w:overflowPunct/>
        <w:topLinePunct w:val="0"/>
        <w:autoSpaceDE/>
        <w:autoSpaceDN/>
        <w:bidi w:val="0"/>
        <w:adjustRightInd/>
        <w:snapToGrid/>
        <w:spacing w:line="520" w:lineRule="exact"/>
        <w:ind w:right="57" w:firstLine="643" w:firstLineChars="200"/>
        <w:textAlignment w:val="auto"/>
        <w:rPr>
          <w:rFonts w:hint="eastAsia" w:ascii="仿宋_GB2312" w:eastAsia="仿宋_GB2312"/>
          <w:b/>
          <w:sz w:val="32"/>
          <w:szCs w:val="32"/>
          <w:lang w:eastAsia="zh-CN"/>
        </w:rPr>
      </w:pPr>
      <w:r>
        <w:rPr>
          <w:rFonts w:hint="eastAsia" w:ascii="仿宋_GB2312" w:eastAsia="仿宋_GB2312"/>
          <w:b/>
          <w:sz w:val="32"/>
          <w:szCs w:val="32"/>
        </w:rPr>
        <w:t>拟按一般项目立项</w:t>
      </w:r>
      <w:r>
        <w:rPr>
          <w:rFonts w:hint="eastAsia" w:ascii="仿宋_GB2312" w:eastAsia="仿宋_GB2312"/>
          <w:b/>
          <w:sz w:val="32"/>
          <w:szCs w:val="32"/>
          <w:lang w:eastAsia="zh-CN"/>
        </w:rPr>
        <w:t>。</w:t>
      </w:r>
      <w:r>
        <w:rPr>
          <w:rFonts w:hint="eastAsia" w:ascii="仿宋_GB2312" w:eastAsia="仿宋_GB2312"/>
          <w:b/>
          <w:sz w:val="32"/>
          <w:szCs w:val="32"/>
        </w:rPr>
        <w:t>经学院评定、教务处复核，支持结题结果为“优秀”的项目开展持续研究，择优遴选若干重大项目或重点项目，将持续支持2-3年</w:t>
      </w:r>
      <w:r>
        <w:rPr>
          <w:rFonts w:hint="eastAsia" w:ascii="仿宋_GB2312" w:eastAsia="仿宋_GB2312"/>
          <w:b/>
          <w:sz w:val="32"/>
          <w:szCs w:val="32"/>
          <w:lang w:eastAsia="zh-CN"/>
        </w:rPr>
        <w:t>。</w:t>
      </w:r>
    </w:p>
    <w:p w14:paraId="2B12F5E4">
      <w:pPr>
        <w:pageBreakBefore w:val="0"/>
        <w:widowControl w:val="0"/>
        <w:kinsoku/>
        <w:wordWrap/>
        <w:overflowPunct/>
        <w:topLinePunct w:val="0"/>
        <w:autoSpaceDE/>
        <w:autoSpaceDN/>
        <w:bidi w:val="0"/>
        <w:adjustRightInd/>
        <w:snapToGrid/>
        <w:spacing w:line="520" w:lineRule="exact"/>
        <w:ind w:right="57" w:firstLine="640" w:firstLineChars="200"/>
        <w:textAlignment w:val="auto"/>
        <w:rPr>
          <w:rFonts w:ascii="仿宋_GB2312" w:eastAsia="仿宋_GB2312"/>
          <w:b/>
          <w:sz w:val="32"/>
          <w:szCs w:val="32"/>
        </w:rPr>
      </w:pPr>
      <w:r>
        <w:rPr>
          <w:rFonts w:hint="eastAsia" w:ascii="仿宋_GB2312" w:eastAsia="仿宋_GB2312"/>
          <w:bCs/>
          <w:sz w:val="32"/>
          <w:szCs w:val="32"/>
        </w:rPr>
        <w:t>围绕拔尖创新人才培养，聚焦一流课程建设，鼓励教师结合课程建设实践开展教学研究和改革，推动课堂教学转型，促进教学模式向以学生为中心的转变，优化教学内容，改进教学方法，提高教学效果</w:t>
      </w:r>
      <w:r>
        <w:rPr>
          <w:rFonts w:hint="eastAsia" w:ascii="仿宋_GB2312" w:eastAsia="仿宋_GB2312"/>
          <w:b/>
          <w:sz w:val="32"/>
          <w:szCs w:val="32"/>
        </w:rPr>
        <w:t>。</w:t>
      </w:r>
      <w:r>
        <w:rPr>
          <w:rFonts w:hint="eastAsia" w:ascii="仿宋_GB2312" w:eastAsia="仿宋_GB2312"/>
          <w:bCs/>
          <w:sz w:val="32"/>
          <w:szCs w:val="32"/>
        </w:rPr>
        <w:t>突出研究新形势下培养学生探索和创新能力中实践教学内容、实践教学方法、实践教学管理体制改革，树立激发学生学术志趣、让学生“做中学”的教育理念，加强学业挑战度等，提升实践教学效果与质量。</w:t>
      </w:r>
      <w:r>
        <w:rPr>
          <w:rFonts w:hint="eastAsia" w:ascii="仿宋_GB2312" w:eastAsia="仿宋_GB2312"/>
          <w:b/>
          <w:sz w:val="32"/>
          <w:szCs w:val="32"/>
        </w:rPr>
        <w:t>每个教学单位申报指标分配见附件3。</w:t>
      </w:r>
      <w:r>
        <w:rPr>
          <w:rFonts w:hint="eastAsia" w:ascii="仿宋_GB2312" w:eastAsia="仿宋_GB2312"/>
          <w:bCs/>
          <w:sz w:val="32"/>
          <w:szCs w:val="32"/>
        </w:rPr>
        <w:t>选题方向如下：</w:t>
      </w:r>
    </w:p>
    <w:p w14:paraId="6CF48747">
      <w:pPr>
        <w:pageBreakBefore w:val="0"/>
        <w:widowControl w:val="0"/>
        <w:kinsoku/>
        <w:wordWrap/>
        <w:overflowPunct/>
        <w:topLinePunct w:val="0"/>
        <w:autoSpaceDE/>
        <w:autoSpaceDN/>
        <w:bidi w:val="0"/>
        <w:adjustRightInd/>
        <w:snapToGrid/>
        <w:spacing w:line="520" w:lineRule="exact"/>
        <w:ind w:right="57" w:firstLine="640" w:firstLineChars="200"/>
        <w:textAlignment w:val="auto"/>
        <w:rPr>
          <w:rFonts w:ascii="仿宋_GB2312" w:eastAsia="仿宋_GB2312"/>
          <w:bCs/>
          <w:sz w:val="32"/>
          <w:szCs w:val="32"/>
        </w:rPr>
      </w:pPr>
      <w:r>
        <w:rPr>
          <w:rFonts w:hint="eastAsia" w:ascii="仿宋_GB2312" w:eastAsia="仿宋_GB2312"/>
          <w:bCs/>
          <w:sz w:val="32"/>
          <w:szCs w:val="32"/>
        </w:rPr>
        <w:t>1</w:t>
      </w:r>
      <w:r>
        <w:rPr>
          <w:rFonts w:ascii="仿宋_GB2312" w:eastAsia="仿宋_GB2312"/>
          <w:bCs/>
          <w:sz w:val="32"/>
          <w:szCs w:val="32"/>
        </w:rPr>
        <w:t>.</w:t>
      </w:r>
      <w:r>
        <w:rPr>
          <w:rFonts w:hint="eastAsia" w:ascii="仿宋_GB2312" w:eastAsia="仿宋_GB2312"/>
          <w:bCs/>
          <w:sz w:val="32"/>
          <w:szCs w:val="32"/>
        </w:rPr>
        <w:t>理论教学类课程教学研究与改革。</w:t>
      </w:r>
    </w:p>
    <w:p w14:paraId="6CA82EB2">
      <w:pPr>
        <w:pageBreakBefore w:val="0"/>
        <w:widowControl w:val="0"/>
        <w:kinsoku/>
        <w:wordWrap/>
        <w:overflowPunct/>
        <w:topLinePunct w:val="0"/>
        <w:autoSpaceDE/>
        <w:autoSpaceDN/>
        <w:bidi w:val="0"/>
        <w:adjustRightInd/>
        <w:snapToGrid/>
        <w:spacing w:line="520" w:lineRule="exact"/>
        <w:ind w:right="57" w:firstLine="640" w:firstLineChars="200"/>
        <w:textAlignment w:val="auto"/>
        <w:rPr>
          <w:rFonts w:ascii="仿宋_GB2312" w:eastAsia="仿宋_GB2312"/>
          <w:bCs/>
          <w:sz w:val="32"/>
          <w:szCs w:val="32"/>
        </w:rPr>
      </w:pPr>
      <w:r>
        <w:rPr>
          <w:rFonts w:hint="eastAsia" w:ascii="仿宋_GB2312" w:eastAsia="仿宋_GB2312"/>
          <w:bCs/>
          <w:sz w:val="32"/>
          <w:szCs w:val="32"/>
        </w:rPr>
        <w:t>2</w:t>
      </w:r>
      <w:r>
        <w:rPr>
          <w:rFonts w:ascii="仿宋_GB2312" w:eastAsia="仿宋_GB2312"/>
          <w:bCs/>
          <w:sz w:val="32"/>
          <w:szCs w:val="32"/>
        </w:rPr>
        <w:t>.</w:t>
      </w:r>
      <w:r>
        <w:rPr>
          <w:rFonts w:hint="eastAsia" w:ascii="仿宋_GB2312" w:eastAsia="仿宋_GB2312"/>
          <w:bCs/>
          <w:sz w:val="32"/>
          <w:szCs w:val="32"/>
        </w:rPr>
        <w:t>实践教学类课程教学研究与改革。</w:t>
      </w:r>
    </w:p>
    <w:p w14:paraId="3EDF4132">
      <w:pPr>
        <w:pageBreakBefore w:val="0"/>
        <w:widowControl w:val="0"/>
        <w:kinsoku/>
        <w:wordWrap/>
        <w:overflowPunct/>
        <w:topLinePunct w:val="0"/>
        <w:autoSpaceDE/>
        <w:autoSpaceDN/>
        <w:bidi w:val="0"/>
        <w:adjustRightInd/>
        <w:snapToGrid/>
        <w:spacing w:line="520" w:lineRule="exact"/>
        <w:ind w:right="57" w:firstLine="640" w:firstLineChars="200"/>
        <w:textAlignment w:val="auto"/>
        <w:rPr>
          <w:rFonts w:ascii="仿宋_GB2312" w:eastAsia="仿宋_GB2312"/>
          <w:bCs/>
          <w:sz w:val="32"/>
          <w:szCs w:val="32"/>
        </w:rPr>
      </w:pPr>
      <w:r>
        <w:rPr>
          <w:rFonts w:hint="eastAsia" w:ascii="仿宋_GB2312" w:eastAsia="仿宋_GB2312"/>
          <w:bCs/>
          <w:sz w:val="32"/>
          <w:szCs w:val="32"/>
        </w:rPr>
        <w:t>3</w:t>
      </w:r>
      <w:r>
        <w:rPr>
          <w:rFonts w:ascii="仿宋_GB2312" w:eastAsia="仿宋_GB2312"/>
          <w:bCs/>
          <w:sz w:val="32"/>
          <w:szCs w:val="32"/>
        </w:rPr>
        <w:t>.</w:t>
      </w:r>
      <w:r>
        <w:rPr>
          <w:rFonts w:hint="eastAsia" w:ascii="仿宋_GB2312" w:eastAsia="仿宋_GB2312"/>
          <w:bCs/>
          <w:sz w:val="32"/>
          <w:szCs w:val="32"/>
        </w:rPr>
        <w:t>大学公共基础课教学研究与改革。</w:t>
      </w:r>
    </w:p>
    <w:p w14:paraId="20345404">
      <w:pPr>
        <w:pageBreakBefore w:val="0"/>
        <w:widowControl w:val="0"/>
        <w:kinsoku/>
        <w:wordWrap/>
        <w:overflowPunct/>
        <w:topLinePunct w:val="0"/>
        <w:autoSpaceDE/>
        <w:autoSpaceDN/>
        <w:bidi w:val="0"/>
        <w:adjustRightInd/>
        <w:snapToGrid/>
        <w:spacing w:line="520" w:lineRule="exact"/>
        <w:ind w:right="57" w:firstLine="640" w:firstLineChars="200"/>
        <w:textAlignment w:val="auto"/>
        <w:rPr>
          <w:rFonts w:ascii="仿宋_GB2312" w:eastAsia="仿宋_GB2312"/>
          <w:bCs/>
          <w:sz w:val="32"/>
          <w:szCs w:val="32"/>
        </w:rPr>
      </w:pPr>
      <w:r>
        <w:rPr>
          <w:rFonts w:hint="eastAsia" w:ascii="仿宋_GB2312" w:eastAsia="仿宋_GB2312"/>
          <w:bCs/>
          <w:sz w:val="32"/>
          <w:szCs w:val="32"/>
        </w:rPr>
        <w:t>4</w:t>
      </w:r>
      <w:r>
        <w:rPr>
          <w:rFonts w:ascii="仿宋_GB2312" w:eastAsia="仿宋_GB2312"/>
          <w:bCs/>
          <w:sz w:val="32"/>
          <w:szCs w:val="32"/>
        </w:rPr>
        <w:t>.</w:t>
      </w:r>
      <w:r>
        <w:rPr>
          <w:rFonts w:hint="eastAsia" w:ascii="仿宋_GB2312" w:eastAsia="仿宋_GB2312"/>
          <w:bCs/>
          <w:sz w:val="32"/>
          <w:szCs w:val="32"/>
        </w:rPr>
        <w:t>生态文明素养通识课建设与改革。</w:t>
      </w:r>
    </w:p>
    <w:p w14:paraId="34356492">
      <w:pPr>
        <w:pageBreakBefore w:val="0"/>
        <w:widowControl w:val="0"/>
        <w:kinsoku/>
        <w:wordWrap/>
        <w:overflowPunct/>
        <w:topLinePunct w:val="0"/>
        <w:autoSpaceDE/>
        <w:autoSpaceDN/>
        <w:bidi w:val="0"/>
        <w:adjustRightInd/>
        <w:snapToGrid/>
        <w:spacing w:line="520" w:lineRule="exact"/>
        <w:ind w:right="57" w:firstLine="640" w:firstLineChars="200"/>
        <w:textAlignment w:val="auto"/>
        <w:rPr>
          <w:rFonts w:hint="eastAsia" w:ascii="仿宋_GB2312" w:eastAsia="仿宋_GB2312"/>
          <w:bCs/>
          <w:sz w:val="32"/>
          <w:szCs w:val="32"/>
        </w:rPr>
      </w:pPr>
      <w:r>
        <w:rPr>
          <w:rFonts w:ascii="仿宋_GB2312" w:eastAsia="仿宋_GB2312"/>
          <w:bCs/>
          <w:sz w:val="32"/>
          <w:szCs w:val="32"/>
        </w:rPr>
        <w:t>5</w:t>
      </w:r>
      <w:r>
        <w:rPr>
          <w:rFonts w:hint="eastAsia" w:ascii="仿宋_GB2312" w:eastAsia="仿宋_GB2312"/>
          <w:bCs/>
          <w:sz w:val="32"/>
          <w:szCs w:val="32"/>
        </w:rPr>
        <w:t>.人工智能深度赋能课程建设。</w:t>
      </w:r>
    </w:p>
    <w:p w14:paraId="22718DF1">
      <w:pPr>
        <w:pageBreakBefore w:val="0"/>
        <w:widowControl w:val="0"/>
        <w:kinsoku/>
        <w:wordWrap/>
        <w:overflowPunct/>
        <w:topLinePunct w:val="0"/>
        <w:autoSpaceDE/>
        <w:autoSpaceDN/>
        <w:bidi w:val="0"/>
        <w:adjustRightInd/>
        <w:snapToGrid/>
        <w:spacing w:line="520" w:lineRule="exact"/>
        <w:ind w:right="57" w:firstLine="640" w:firstLineChars="200"/>
        <w:textAlignment w:val="auto"/>
        <w:rPr>
          <w:rFonts w:hint="eastAsia" w:ascii="仿宋_GB2312" w:eastAsia="仿宋_GB2312"/>
          <w:bCs/>
          <w:sz w:val="32"/>
          <w:szCs w:val="32"/>
          <w:lang w:val="en-US" w:eastAsia="zh-CN"/>
        </w:rPr>
      </w:pPr>
      <w:r>
        <w:rPr>
          <w:rFonts w:hint="eastAsia" w:ascii="仿宋_GB2312" w:eastAsia="仿宋_GB2312"/>
          <w:bCs/>
          <w:sz w:val="32"/>
          <w:szCs w:val="32"/>
          <w:lang w:val="en-US" w:eastAsia="zh-CN"/>
        </w:rPr>
        <w:t>6.</w:t>
      </w:r>
      <w:r>
        <w:rPr>
          <w:rFonts w:ascii="仿宋_GB2312" w:eastAsia="仿宋_GB2312"/>
          <w:bCs/>
          <w:sz w:val="32"/>
          <w:szCs w:val="32"/>
        </w:rPr>
        <w:t>教育教学管理模式创新与实践研究</w:t>
      </w:r>
      <w:r>
        <w:rPr>
          <w:rFonts w:hint="eastAsia" w:ascii="仿宋_GB2312" w:eastAsia="仿宋_GB2312"/>
          <w:bCs/>
          <w:sz w:val="32"/>
          <w:szCs w:val="32"/>
          <w:lang w:eastAsia="zh-CN"/>
        </w:rPr>
        <w:t>。</w:t>
      </w:r>
    </w:p>
    <w:p w14:paraId="0E19588C">
      <w:pPr>
        <w:pageBreakBefore w:val="0"/>
        <w:widowControl w:val="0"/>
        <w:kinsoku/>
        <w:wordWrap/>
        <w:overflowPunct/>
        <w:topLinePunct w:val="0"/>
        <w:autoSpaceDE/>
        <w:autoSpaceDN/>
        <w:bidi w:val="0"/>
        <w:adjustRightInd/>
        <w:snapToGrid/>
        <w:spacing w:line="520" w:lineRule="exact"/>
        <w:ind w:right="57" w:firstLine="640" w:firstLineChars="200"/>
        <w:textAlignment w:val="auto"/>
        <w:rPr>
          <w:rFonts w:hint="eastAsia" w:ascii="仿宋_GB2312" w:eastAsia="仿宋_GB2312"/>
          <w:bCs/>
          <w:sz w:val="32"/>
          <w:szCs w:val="32"/>
          <w:lang w:val="en-US" w:eastAsia="zh-CN"/>
        </w:rPr>
      </w:pPr>
      <w:r>
        <w:rPr>
          <w:rFonts w:hint="eastAsia" w:ascii="仿宋_GB2312" w:eastAsia="仿宋_GB2312"/>
          <w:bCs/>
          <w:sz w:val="32"/>
          <w:szCs w:val="32"/>
          <w:lang w:val="en-US" w:eastAsia="zh-CN"/>
        </w:rPr>
        <w:t>7.优秀教学创新示范案例建设（教学管理类、教学保障类、实验指导类、竞赛指导类）。</w:t>
      </w:r>
    </w:p>
    <w:p w14:paraId="3049A51B">
      <w:pPr>
        <w:pageBreakBefore w:val="0"/>
        <w:widowControl w:val="0"/>
        <w:kinsoku/>
        <w:wordWrap/>
        <w:overflowPunct/>
        <w:topLinePunct w:val="0"/>
        <w:autoSpaceDE/>
        <w:autoSpaceDN/>
        <w:bidi w:val="0"/>
        <w:adjustRightInd/>
        <w:snapToGrid/>
        <w:spacing w:line="520" w:lineRule="exact"/>
        <w:ind w:right="57" w:firstLine="640" w:firstLineChars="200"/>
        <w:textAlignment w:val="auto"/>
        <w:rPr>
          <w:rFonts w:hint="default" w:ascii="仿宋_GB2312" w:eastAsia="仿宋_GB2312"/>
          <w:bCs/>
          <w:sz w:val="32"/>
          <w:szCs w:val="32"/>
          <w:lang w:val="en-US" w:eastAsia="zh-CN"/>
        </w:rPr>
      </w:pPr>
      <w:r>
        <w:rPr>
          <w:rFonts w:hint="eastAsia" w:ascii="仿宋_GB2312" w:eastAsia="仿宋_GB2312"/>
          <w:bCs/>
          <w:sz w:val="32"/>
          <w:szCs w:val="32"/>
          <w:lang w:val="en-US" w:eastAsia="zh-CN"/>
        </w:rPr>
        <w:t>8.其他自由探索选题方向。</w:t>
      </w:r>
      <w:bookmarkStart w:id="3" w:name="_GoBack"/>
      <w:bookmarkEnd w:id="3"/>
    </w:p>
    <w:p w14:paraId="12FD280D">
      <w:pPr>
        <w:pStyle w:val="2"/>
        <w:pageBreakBefore w:val="0"/>
        <w:widowControl w:val="0"/>
        <w:kinsoku/>
        <w:wordWrap/>
        <w:overflowPunct/>
        <w:topLinePunct w:val="0"/>
        <w:autoSpaceDE/>
        <w:autoSpaceDN/>
        <w:bidi w:val="0"/>
        <w:adjustRightInd/>
        <w:snapToGrid/>
        <w:spacing w:before="100" w:beforeAutospacing="1" w:after="0" w:line="520" w:lineRule="exact"/>
        <w:ind w:firstLine="720" w:firstLineChars="200"/>
        <w:textAlignment w:val="auto"/>
        <w:rPr>
          <w:rFonts w:ascii="黑体" w:hAnsi="黑体" w:eastAsia="黑体"/>
          <w:b w:val="0"/>
          <w:bCs w:val="0"/>
          <w:sz w:val="36"/>
          <w:szCs w:val="36"/>
        </w:rPr>
      </w:pPr>
      <w:r>
        <w:rPr>
          <w:rFonts w:hint="eastAsia" w:ascii="黑体" w:hAnsi="黑体" w:eastAsia="黑体"/>
          <w:b w:val="0"/>
          <w:bCs w:val="0"/>
          <w:sz w:val="36"/>
          <w:szCs w:val="36"/>
        </w:rPr>
        <w:t>二、项目周期与资助经费说明</w:t>
      </w:r>
    </w:p>
    <w:p w14:paraId="7AAD97A1">
      <w:pPr>
        <w:pageBreakBefore w:val="0"/>
        <w:widowControl w:val="0"/>
        <w:kinsoku/>
        <w:wordWrap/>
        <w:overflowPunct/>
        <w:topLinePunct w:val="0"/>
        <w:autoSpaceDE/>
        <w:autoSpaceDN/>
        <w:bidi w:val="0"/>
        <w:adjustRightInd/>
        <w:snapToGrid/>
        <w:spacing w:line="520" w:lineRule="exact"/>
        <w:ind w:right="57" w:firstLine="640" w:firstLineChars="200"/>
        <w:textAlignment w:val="auto"/>
        <w:rPr>
          <w:rFonts w:ascii="仿宋_GB2312" w:eastAsia="仿宋_GB2312"/>
          <w:bCs/>
          <w:sz w:val="32"/>
          <w:szCs w:val="32"/>
        </w:rPr>
      </w:pPr>
      <w:r>
        <w:rPr>
          <w:rFonts w:ascii="仿宋_GB2312" w:eastAsia="仿宋_GB2312"/>
          <w:bCs/>
          <w:sz w:val="32"/>
          <w:szCs w:val="32"/>
        </w:rPr>
        <w:t>1.</w:t>
      </w:r>
      <w:r>
        <w:rPr>
          <w:rFonts w:hint="eastAsia" w:ascii="仿宋_GB2312" w:eastAsia="仿宋_GB2312"/>
          <w:b/>
          <w:sz w:val="32"/>
          <w:szCs w:val="32"/>
        </w:rPr>
        <w:t>重大项目</w:t>
      </w:r>
      <w:r>
        <w:rPr>
          <w:rFonts w:hint="eastAsia" w:ascii="仿宋_GB2312" w:eastAsia="仿宋_GB2312"/>
          <w:bCs/>
          <w:sz w:val="32"/>
          <w:szCs w:val="32"/>
        </w:rPr>
        <w:t>和</w:t>
      </w:r>
      <w:r>
        <w:rPr>
          <w:rFonts w:hint="eastAsia" w:ascii="仿宋_GB2312" w:eastAsia="仿宋_GB2312"/>
          <w:b/>
          <w:sz w:val="32"/>
          <w:szCs w:val="32"/>
        </w:rPr>
        <w:t>重点项目</w:t>
      </w:r>
      <w:r>
        <w:rPr>
          <w:rFonts w:hint="eastAsia" w:ascii="仿宋_GB2312" w:eastAsia="仿宋_GB2312"/>
          <w:bCs/>
          <w:sz w:val="32"/>
          <w:szCs w:val="32"/>
        </w:rPr>
        <w:t>研究周期一般为</w:t>
      </w:r>
      <w:r>
        <w:rPr>
          <w:rFonts w:hint="eastAsia" w:ascii="仿宋_GB2312" w:eastAsia="仿宋_GB2312"/>
          <w:bCs/>
          <w:sz w:val="32"/>
          <w:szCs w:val="32"/>
          <w:lang w:val="en-US" w:eastAsia="zh-CN"/>
        </w:rPr>
        <w:t>2-4</w:t>
      </w:r>
      <w:r>
        <w:rPr>
          <w:rFonts w:hint="eastAsia" w:ascii="仿宋_GB2312" w:eastAsia="仿宋_GB2312"/>
          <w:bCs/>
          <w:sz w:val="32"/>
          <w:szCs w:val="32"/>
        </w:rPr>
        <w:t>年，</w:t>
      </w:r>
      <w:r>
        <w:rPr>
          <w:rFonts w:hint="eastAsia" w:ascii="仿宋_GB2312" w:eastAsia="仿宋_GB2312"/>
          <w:bCs/>
          <w:sz w:val="32"/>
          <w:szCs w:val="32"/>
          <w:lang w:val="en-US" w:eastAsia="zh-CN"/>
        </w:rPr>
        <w:t>每年组织一次进展汇报。</w:t>
      </w:r>
      <w:r>
        <w:rPr>
          <w:rFonts w:hint="eastAsia" w:ascii="仿宋_GB2312" w:eastAsia="仿宋_GB2312"/>
          <w:b/>
          <w:sz w:val="32"/>
          <w:szCs w:val="32"/>
        </w:rPr>
        <w:t>一般项目</w:t>
      </w:r>
      <w:r>
        <w:rPr>
          <w:rFonts w:hint="eastAsia" w:ascii="仿宋_GB2312" w:eastAsia="仿宋_GB2312"/>
          <w:bCs/>
          <w:sz w:val="32"/>
          <w:szCs w:val="32"/>
        </w:rPr>
        <w:t>研究周期为1年。</w:t>
      </w:r>
    </w:p>
    <w:p w14:paraId="3CB2EB8F">
      <w:pPr>
        <w:pageBreakBefore w:val="0"/>
        <w:widowControl w:val="0"/>
        <w:kinsoku/>
        <w:wordWrap/>
        <w:overflowPunct/>
        <w:topLinePunct w:val="0"/>
        <w:autoSpaceDE/>
        <w:autoSpaceDN/>
        <w:bidi w:val="0"/>
        <w:adjustRightInd/>
        <w:snapToGrid/>
        <w:spacing w:line="520" w:lineRule="exact"/>
        <w:ind w:right="57" w:firstLine="640" w:firstLineChars="200"/>
        <w:textAlignment w:val="auto"/>
        <w:rPr>
          <w:rFonts w:ascii="仿宋_GB2312" w:eastAsia="仿宋_GB2312"/>
          <w:bCs/>
          <w:sz w:val="32"/>
          <w:szCs w:val="32"/>
        </w:rPr>
      </w:pPr>
      <w:r>
        <w:rPr>
          <w:rFonts w:hint="eastAsia" w:ascii="仿宋_GB2312" w:eastAsia="仿宋_GB2312"/>
          <w:bCs/>
          <w:sz w:val="32"/>
          <w:szCs w:val="32"/>
        </w:rPr>
        <w:t>2.经费支持标准如下：</w:t>
      </w:r>
      <w:r>
        <w:rPr>
          <w:rFonts w:hint="eastAsia" w:ascii="仿宋_GB2312" w:eastAsia="仿宋_GB2312"/>
          <w:b/>
          <w:sz w:val="32"/>
          <w:szCs w:val="32"/>
        </w:rPr>
        <w:t>重大项</w:t>
      </w:r>
      <w:r>
        <w:rPr>
          <w:rFonts w:hint="eastAsia" w:ascii="仿宋_GB2312" w:eastAsia="仿宋_GB2312"/>
          <w:b/>
          <w:sz w:val="32"/>
          <w:szCs w:val="32"/>
          <w:highlight w:val="none"/>
        </w:rPr>
        <w:t>目</w:t>
      </w:r>
      <w:r>
        <w:rPr>
          <w:rFonts w:hint="eastAsia" w:ascii="仿宋_GB2312" w:eastAsia="仿宋_GB2312"/>
          <w:bCs/>
          <w:sz w:val="32"/>
          <w:szCs w:val="32"/>
          <w:highlight w:val="none"/>
        </w:rPr>
        <w:t>：</w:t>
      </w:r>
      <w:r>
        <w:rPr>
          <w:rFonts w:hint="eastAsia" w:ascii="仿宋_GB2312" w:eastAsia="仿宋_GB2312"/>
          <w:bCs/>
          <w:sz w:val="32"/>
          <w:szCs w:val="32"/>
          <w:highlight w:val="none"/>
          <w:lang w:val="en-US" w:eastAsia="zh-CN"/>
        </w:rPr>
        <w:t>1</w:t>
      </w:r>
      <w:r>
        <w:rPr>
          <w:rFonts w:hint="eastAsia" w:ascii="仿宋_GB2312" w:eastAsia="仿宋_GB2312"/>
          <w:bCs/>
          <w:sz w:val="32"/>
          <w:szCs w:val="32"/>
          <w:highlight w:val="none"/>
        </w:rPr>
        <w:t>万元/项，如获得持续支持，则根据实际情况进行费用追加；</w:t>
      </w:r>
      <w:r>
        <w:rPr>
          <w:rFonts w:hint="eastAsia" w:ascii="仿宋_GB2312" w:eastAsia="仿宋_GB2312"/>
          <w:b/>
          <w:sz w:val="32"/>
          <w:szCs w:val="32"/>
          <w:highlight w:val="none"/>
        </w:rPr>
        <w:t>重点项目</w:t>
      </w:r>
      <w:r>
        <w:rPr>
          <w:rFonts w:hint="eastAsia" w:ascii="仿宋_GB2312" w:eastAsia="仿宋_GB2312"/>
          <w:bCs/>
          <w:sz w:val="32"/>
          <w:szCs w:val="32"/>
          <w:highlight w:val="none"/>
        </w:rPr>
        <w:t>：0.5万</w:t>
      </w:r>
      <w:r>
        <w:rPr>
          <w:rFonts w:hint="eastAsia" w:ascii="仿宋_GB2312" w:eastAsia="仿宋_GB2312"/>
          <w:bCs/>
          <w:sz w:val="32"/>
          <w:szCs w:val="32"/>
        </w:rPr>
        <w:t>元/项；</w:t>
      </w:r>
      <w:r>
        <w:rPr>
          <w:rFonts w:hint="eastAsia" w:ascii="仿宋_GB2312" w:eastAsia="仿宋_GB2312"/>
          <w:b/>
          <w:sz w:val="32"/>
          <w:szCs w:val="32"/>
        </w:rPr>
        <w:t>一般项目</w:t>
      </w:r>
      <w:r>
        <w:rPr>
          <w:rFonts w:hint="eastAsia" w:ascii="仿宋_GB2312" w:eastAsia="仿宋_GB2312"/>
          <w:bCs/>
          <w:sz w:val="32"/>
          <w:szCs w:val="32"/>
        </w:rPr>
        <w:t>：学院或教师自筹。</w:t>
      </w:r>
    </w:p>
    <w:p w14:paraId="3BD6EE65">
      <w:pPr>
        <w:pageBreakBefore w:val="0"/>
        <w:widowControl w:val="0"/>
        <w:kinsoku/>
        <w:wordWrap/>
        <w:overflowPunct/>
        <w:topLinePunct w:val="0"/>
        <w:autoSpaceDE/>
        <w:autoSpaceDN/>
        <w:bidi w:val="0"/>
        <w:adjustRightInd/>
        <w:snapToGrid/>
        <w:spacing w:line="520" w:lineRule="exact"/>
        <w:ind w:right="57" w:firstLine="640" w:firstLineChars="200"/>
        <w:textAlignment w:val="auto"/>
        <w:rPr>
          <w:rFonts w:ascii="仿宋_GB2312" w:eastAsia="仿宋_GB2312"/>
          <w:bCs/>
          <w:sz w:val="32"/>
          <w:szCs w:val="32"/>
        </w:rPr>
      </w:pPr>
      <w:r>
        <w:rPr>
          <w:rFonts w:hint="eastAsia" w:ascii="仿宋_GB2312" w:eastAsia="仿宋_GB2312"/>
          <w:bCs/>
          <w:sz w:val="32"/>
          <w:szCs w:val="32"/>
        </w:rPr>
        <w:t>3.</w:t>
      </w:r>
      <w:bookmarkStart w:id="2" w:name="OLE_LINK13"/>
      <w:r>
        <w:rPr>
          <w:rFonts w:hint="eastAsia" w:ascii="仿宋_GB2312" w:eastAsia="仿宋_GB2312"/>
          <w:b/>
          <w:sz w:val="32"/>
          <w:szCs w:val="32"/>
        </w:rPr>
        <w:t>重大项目</w:t>
      </w:r>
      <w:bookmarkEnd w:id="2"/>
      <w:r>
        <w:rPr>
          <w:rFonts w:hint="eastAsia" w:ascii="仿宋_GB2312" w:eastAsia="仿宋_GB2312"/>
          <w:bCs/>
          <w:sz w:val="32"/>
          <w:szCs w:val="32"/>
        </w:rPr>
        <w:t>和</w:t>
      </w:r>
      <w:r>
        <w:rPr>
          <w:rFonts w:hint="eastAsia" w:ascii="仿宋_GB2312" w:eastAsia="仿宋_GB2312"/>
          <w:b/>
          <w:sz w:val="32"/>
          <w:szCs w:val="32"/>
        </w:rPr>
        <w:t>重点项目</w:t>
      </w:r>
      <w:r>
        <w:rPr>
          <w:rFonts w:hint="eastAsia" w:ascii="仿宋_GB2312" w:eastAsia="仿宋_GB2312"/>
          <w:bCs/>
          <w:sz w:val="32"/>
          <w:szCs w:val="32"/>
        </w:rPr>
        <w:t>由学校提供经费支持，按照审定额度全额拨付至项目负责人所在单位，由所在单位、项目负责人按照《北京林业大学本科教育教学改革与研究项目管理办法（修订）》统筹经费使用。</w:t>
      </w:r>
    </w:p>
    <w:p w14:paraId="46FC8FF3">
      <w:pPr>
        <w:pageBreakBefore w:val="0"/>
        <w:widowControl w:val="0"/>
        <w:kinsoku/>
        <w:wordWrap/>
        <w:overflowPunct/>
        <w:topLinePunct w:val="0"/>
        <w:autoSpaceDE/>
        <w:autoSpaceDN/>
        <w:bidi w:val="0"/>
        <w:adjustRightInd/>
        <w:snapToGrid/>
        <w:spacing w:line="520" w:lineRule="exact"/>
        <w:ind w:right="57" w:firstLine="640" w:firstLineChars="200"/>
        <w:textAlignment w:val="auto"/>
        <w:rPr>
          <w:rFonts w:ascii="仿宋_GB2312" w:eastAsia="仿宋_GB2312"/>
          <w:bCs/>
          <w:sz w:val="32"/>
          <w:szCs w:val="32"/>
        </w:rPr>
      </w:pPr>
      <w:r>
        <w:rPr>
          <w:rFonts w:hint="eastAsia" w:ascii="仿宋_GB2312" w:eastAsia="仿宋_GB2312"/>
          <w:bCs/>
          <w:sz w:val="32"/>
          <w:szCs w:val="32"/>
        </w:rPr>
        <w:t>4.</w:t>
      </w:r>
      <w:r>
        <w:rPr>
          <w:rFonts w:hint="eastAsia" w:ascii="仿宋_GB2312" w:eastAsia="仿宋_GB2312"/>
          <w:b/>
          <w:sz w:val="32"/>
          <w:szCs w:val="32"/>
        </w:rPr>
        <w:t>一般项目</w:t>
      </w:r>
      <w:r>
        <w:rPr>
          <w:rFonts w:hint="eastAsia" w:ascii="仿宋_GB2312" w:eastAsia="仿宋_GB2312"/>
          <w:bCs/>
          <w:sz w:val="32"/>
          <w:szCs w:val="32"/>
        </w:rPr>
        <w:t>经费需项目主持人或所在单位自筹经费，若在项目推进过程中，取得的相关教育教学成果确需研究经费进一步支持的，可向教务处申请项目经费，由项目负责人填写《北京林业大学教育教学改革与研究项目经费预算调整申请表》，并提交教学院（部）予以审核和出具意见后，教务处组织论证，通过后予以批准。</w:t>
      </w:r>
    </w:p>
    <w:p w14:paraId="52C626D9">
      <w:pPr>
        <w:pageBreakBefore w:val="0"/>
        <w:widowControl w:val="0"/>
        <w:kinsoku/>
        <w:wordWrap/>
        <w:overflowPunct/>
        <w:topLinePunct w:val="0"/>
        <w:autoSpaceDE/>
        <w:autoSpaceDN/>
        <w:bidi w:val="0"/>
        <w:adjustRightInd/>
        <w:snapToGrid/>
        <w:spacing w:line="520" w:lineRule="exact"/>
        <w:ind w:right="57" w:firstLine="640" w:firstLineChars="200"/>
        <w:textAlignment w:val="auto"/>
        <w:rPr>
          <w:rFonts w:ascii="仿宋_GB2312" w:eastAsia="仿宋_GB2312"/>
          <w:bCs/>
          <w:sz w:val="32"/>
          <w:szCs w:val="32"/>
        </w:rPr>
      </w:pPr>
      <w:r>
        <w:rPr>
          <w:rFonts w:hint="eastAsia" w:ascii="仿宋_GB2312" w:eastAsia="仿宋_GB2312"/>
          <w:bCs/>
          <w:sz w:val="32"/>
          <w:szCs w:val="32"/>
        </w:rPr>
        <w:t>5</w:t>
      </w:r>
      <w:r>
        <w:rPr>
          <w:rFonts w:ascii="仿宋_GB2312" w:eastAsia="仿宋_GB2312"/>
          <w:bCs/>
          <w:sz w:val="32"/>
          <w:szCs w:val="32"/>
        </w:rPr>
        <w:t>.</w:t>
      </w:r>
      <w:r>
        <w:rPr>
          <w:rFonts w:hint="eastAsia" w:ascii="仿宋_GB2312" w:eastAsia="仿宋_GB2312"/>
          <w:bCs/>
          <w:sz w:val="32"/>
          <w:szCs w:val="32"/>
        </w:rPr>
        <w:t>为保证学校教育教学改革与研究项目经费使用效益，学校将进一步规范并加强经费管理，各单位和各研究项目团队要遵照相关管理办法执行，对通用办公设备费、市内交通费、劳务费等预算进行严格控制，差旅费需提供相关会议通知、培训通知等证明材料</w:t>
      </w:r>
      <w:r>
        <w:rPr>
          <w:rFonts w:ascii="仿宋_GB2312" w:eastAsia="仿宋_GB2312"/>
          <w:bCs/>
          <w:sz w:val="32"/>
          <w:szCs w:val="32"/>
        </w:rPr>
        <w:t>。</w:t>
      </w:r>
    </w:p>
    <w:p w14:paraId="56E9DBCF">
      <w:pPr>
        <w:pageBreakBefore w:val="0"/>
        <w:widowControl w:val="0"/>
        <w:kinsoku/>
        <w:wordWrap/>
        <w:overflowPunct/>
        <w:topLinePunct w:val="0"/>
        <w:autoSpaceDE/>
        <w:autoSpaceDN/>
        <w:bidi w:val="0"/>
        <w:adjustRightInd/>
        <w:snapToGrid/>
        <w:spacing w:line="520" w:lineRule="exact"/>
        <w:ind w:right="57" w:firstLine="640" w:firstLineChars="200"/>
        <w:textAlignment w:val="auto"/>
        <w:rPr>
          <w:rFonts w:ascii="仿宋_GB2312" w:eastAsia="仿宋_GB2312"/>
          <w:bCs/>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小标宋">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4CBBB9">
    <w:pPr>
      <w:pStyle w:val="8"/>
    </w:pPr>
    <w: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">
          <v:path/>
          <v:fill on="f" focussize="0,0"/>
          <v:stroke on="f" joinstyle="miter"/>
          <v:imagedata o:title=""/>
          <o:lock v:ext="edit" text="t" aspectratio="t"/>
          <v:textbox inset="0mm,0mm,0mm,0mm" style="mso-fit-shape-to-text:t;">
            <w:txbxContent>
              <w:p w14:paraId="561F9631">
                <w:pPr>
                  <w:pStyle w:val="8"/>
                </w:pPr>
                <w:r>
                  <w:fldChar w:fldCharType="begin"/>
                </w:r>
                <w:r>
                  <w:instrText xml:space="preserve"> PAGE  \* MERGEFORMAT </w:instrText>
                </w:r>
                <w:r>
                  <w:fldChar w:fldCharType="separate"/>
                </w:r>
                <w:r>
                  <w:t>1</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gwY2M0NDhkYWUxNDUwODZkMzY3MDhmNmFjZmU0YWUifQ=="/>
  </w:docVars>
  <w:rsids>
    <w:rsidRoot w:val="00BA49AE"/>
    <w:rsid w:val="00006307"/>
    <w:rsid w:val="00025DAF"/>
    <w:rsid w:val="000261F7"/>
    <w:rsid w:val="00037300"/>
    <w:rsid w:val="00040905"/>
    <w:rsid w:val="00051040"/>
    <w:rsid w:val="0005256F"/>
    <w:rsid w:val="0005497E"/>
    <w:rsid w:val="00056795"/>
    <w:rsid w:val="00066C0F"/>
    <w:rsid w:val="00067652"/>
    <w:rsid w:val="0008105F"/>
    <w:rsid w:val="000908AF"/>
    <w:rsid w:val="00096D0F"/>
    <w:rsid w:val="000A14D9"/>
    <w:rsid w:val="000A25FB"/>
    <w:rsid w:val="000B0976"/>
    <w:rsid w:val="000D3253"/>
    <w:rsid w:val="000E2DDA"/>
    <w:rsid w:val="000F113C"/>
    <w:rsid w:val="000F1363"/>
    <w:rsid w:val="00100BF8"/>
    <w:rsid w:val="00126550"/>
    <w:rsid w:val="0013272E"/>
    <w:rsid w:val="001509D8"/>
    <w:rsid w:val="00161E3D"/>
    <w:rsid w:val="00165C93"/>
    <w:rsid w:val="00175D2F"/>
    <w:rsid w:val="00193387"/>
    <w:rsid w:val="001B65C9"/>
    <w:rsid w:val="002043EB"/>
    <w:rsid w:val="00215BB6"/>
    <w:rsid w:val="00233B70"/>
    <w:rsid w:val="0023624C"/>
    <w:rsid w:val="00242E2B"/>
    <w:rsid w:val="00245FAF"/>
    <w:rsid w:val="00254ECF"/>
    <w:rsid w:val="00256EDC"/>
    <w:rsid w:val="00267E55"/>
    <w:rsid w:val="00274B83"/>
    <w:rsid w:val="002924E2"/>
    <w:rsid w:val="002B14F8"/>
    <w:rsid w:val="002C5D00"/>
    <w:rsid w:val="002D0BBD"/>
    <w:rsid w:val="002E0CDD"/>
    <w:rsid w:val="002E0E2D"/>
    <w:rsid w:val="002E5C48"/>
    <w:rsid w:val="002F0B76"/>
    <w:rsid w:val="002F1739"/>
    <w:rsid w:val="002F3CAC"/>
    <w:rsid w:val="002F4D7C"/>
    <w:rsid w:val="002F5421"/>
    <w:rsid w:val="00304578"/>
    <w:rsid w:val="00326C0E"/>
    <w:rsid w:val="00327C48"/>
    <w:rsid w:val="00360F66"/>
    <w:rsid w:val="003658AF"/>
    <w:rsid w:val="0037029E"/>
    <w:rsid w:val="00381255"/>
    <w:rsid w:val="003A25A8"/>
    <w:rsid w:val="003C4B17"/>
    <w:rsid w:val="003D23F0"/>
    <w:rsid w:val="003D30CF"/>
    <w:rsid w:val="003E0C65"/>
    <w:rsid w:val="003F1847"/>
    <w:rsid w:val="004024D2"/>
    <w:rsid w:val="00432024"/>
    <w:rsid w:val="00435B50"/>
    <w:rsid w:val="0043777E"/>
    <w:rsid w:val="00450E32"/>
    <w:rsid w:val="00463E54"/>
    <w:rsid w:val="00481437"/>
    <w:rsid w:val="004953A7"/>
    <w:rsid w:val="004A10C0"/>
    <w:rsid w:val="004A1ADA"/>
    <w:rsid w:val="004A1F4D"/>
    <w:rsid w:val="004A4E9D"/>
    <w:rsid w:val="004C1F13"/>
    <w:rsid w:val="004C7FAD"/>
    <w:rsid w:val="004D0F3D"/>
    <w:rsid w:val="004D459C"/>
    <w:rsid w:val="004E2644"/>
    <w:rsid w:val="004E3534"/>
    <w:rsid w:val="004E4D44"/>
    <w:rsid w:val="004E4DD9"/>
    <w:rsid w:val="004F264B"/>
    <w:rsid w:val="00500D5B"/>
    <w:rsid w:val="00504EF3"/>
    <w:rsid w:val="00516A37"/>
    <w:rsid w:val="005311C3"/>
    <w:rsid w:val="0053141E"/>
    <w:rsid w:val="00536EEF"/>
    <w:rsid w:val="0054013A"/>
    <w:rsid w:val="005447A7"/>
    <w:rsid w:val="00546CF9"/>
    <w:rsid w:val="005673A1"/>
    <w:rsid w:val="00577787"/>
    <w:rsid w:val="005928AC"/>
    <w:rsid w:val="005A1AF2"/>
    <w:rsid w:val="005A2F79"/>
    <w:rsid w:val="005A4B09"/>
    <w:rsid w:val="005A6A90"/>
    <w:rsid w:val="005C0D01"/>
    <w:rsid w:val="005C27E8"/>
    <w:rsid w:val="005D76E7"/>
    <w:rsid w:val="005E2983"/>
    <w:rsid w:val="00612356"/>
    <w:rsid w:val="0061290F"/>
    <w:rsid w:val="00625584"/>
    <w:rsid w:val="00632D66"/>
    <w:rsid w:val="00637AFE"/>
    <w:rsid w:val="00642C39"/>
    <w:rsid w:val="00653922"/>
    <w:rsid w:val="00673B70"/>
    <w:rsid w:val="0068330C"/>
    <w:rsid w:val="006857D0"/>
    <w:rsid w:val="00691BD5"/>
    <w:rsid w:val="006A6350"/>
    <w:rsid w:val="006B05B5"/>
    <w:rsid w:val="006B0BC8"/>
    <w:rsid w:val="006D3DAB"/>
    <w:rsid w:val="006E4A11"/>
    <w:rsid w:val="006F551A"/>
    <w:rsid w:val="006F7D85"/>
    <w:rsid w:val="007064C7"/>
    <w:rsid w:val="0070774A"/>
    <w:rsid w:val="0071425F"/>
    <w:rsid w:val="00722F07"/>
    <w:rsid w:val="00744162"/>
    <w:rsid w:val="00751E6B"/>
    <w:rsid w:val="00760199"/>
    <w:rsid w:val="007635AD"/>
    <w:rsid w:val="00773EBD"/>
    <w:rsid w:val="0079510B"/>
    <w:rsid w:val="007C79CD"/>
    <w:rsid w:val="007F23F9"/>
    <w:rsid w:val="007F7760"/>
    <w:rsid w:val="007F7E6B"/>
    <w:rsid w:val="008057A9"/>
    <w:rsid w:val="00816263"/>
    <w:rsid w:val="00831F9D"/>
    <w:rsid w:val="008540C9"/>
    <w:rsid w:val="008621E0"/>
    <w:rsid w:val="00867EA6"/>
    <w:rsid w:val="00873499"/>
    <w:rsid w:val="00873723"/>
    <w:rsid w:val="00880A32"/>
    <w:rsid w:val="00881120"/>
    <w:rsid w:val="008862F9"/>
    <w:rsid w:val="008B4A62"/>
    <w:rsid w:val="008C2F5D"/>
    <w:rsid w:val="008E133B"/>
    <w:rsid w:val="008E2CDA"/>
    <w:rsid w:val="008E4FA7"/>
    <w:rsid w:val="009014DF"/>
    <w:rsid w:val="009061C4"/>
    <w:rsid w:val="0092050D"/>
    <w:rsid w:val="0092343E"/>
    <w:rsid w:val="00923F0B"/>
    <w:rsid w:val="009301F1"/>
    <w:rsid w:val="009324D7"/>
    <w:rsid w:val="009404F7"/>
    <w:rsid w:val="00945E2D"/>
    <w:rsid w:val="009513BB"/>
    <w:rsid w:val="00972799"/>
    <w:rsid w:val="00983ABF"/>
    <w:rsid w:val="009A150D"/>
    <w:rsid w:val="009A2B4A"/>
    <w:rsid w:val="009A4F58"/>
    <w:rsid w:val="009C59AF"/>
    <w:rsid w:val="009C5B57"/>
    <w:rsid w:val="009E3162"/>
    <w:rsid w:val="009F2F46"/>
    <w:rsid w:val="00A03AC4"/>
    <w:rsid w:val="00A10CC3"/>
    <w:rsid w:val="00A152B4"/>
    <w:rsid w:val="00A17E31"/>
    <w:rsid w:val="00A22677"/>
    <w:rsid w:val="00A32CEE"/>
    <w:rsid w:val="00A40DE1"/>
    <w:rsid w:val="00A419EF"/>
    <w:rsid w:val="00A44648"/>
    <w:rsid w:val="00A4464A"/>
    <w:rsid w:val="00A51D1B"/>
    <w:rsid w:val="00A60752"/>
    <w:rsid w:val="00A62B46"/>
    <w:rsid w:val="00A63EF2"/>
    <w:rsid w:val="00A73173"/>
    <w:rsid w:val="00A85AAB"/>
    <w:rsid w:val="00A92800"/>
    <w:rsid w:val="00A955C2"/>
    <w:rsid w:val="00AB3032"/>
    <w:rsid w:val="00AB698B"/>
    <w:rsid w:val="00AD7CD7"/>
    <w:rsid w:val="00AE1593"/>
    <w:rsid w:val="00AE6E14"/>
    <w:rsid w:val="00AF4E94"/>
    <w:rsid w:val="00AF6406"/>
    <w:rsid w:val="00B15C56"/>
    <w:rsid w:val="00B3579E"/>
    <w:rsid w:val="00B603EE"/>
    <w:rsid w:val="00B7275F"/>
    <w:rsid w:val="00B77D5B"/>
    <w:rsid w:val="00B83514"/>
    <w:rsid w:val="00B858CB"/>
    <w:rsid w:val="00BA49AE"/>
    <w:rsid w:val="00BA51D5"/>
    <w:rsid w:val="00BB3917"/>
    <w:rsid w:val="00BC4C13"/>
    <w:rsid w:val="00BC5B64"/>
    <w:rsid w:val="00BD03A9"/>
    <w:rsid w:val="00BD1041"/>
    <w:rsid w:val="00BD1E8D"/>
    <w:rsid w:val="00BD4088"/>
    <w:rsid w:val="00BD60B5"/>
    <w:rsid w:val="00BE2506"/>
    <w:rsid w:val="00BF1127"/>
    <w:rsid w:val="00BF2382"/>
    <w:rsid w:val="00C020E4"/>
    <w:rsid w:val="00C0398F"/>
    <w:rsid w:val="00C1466E"/>
    <w:rsid w:val="00C31192"/>
    <w:rsid w:val="00C34A22"/>
    <w:rsid w:val="00C4634B"/>
    <w:rsid w:val="00C6082E"/>
    <w:rsid w:val="00C61E1E"/>
    <w:rsid w:val="00C851A5"/>
    <w:rsid w:val="00C9224A"/>
    <w:rsid w:val="00CA10A8"/>
    <w:rsid w:val="00CA1519"/>
    <w:rsid w:val="00CB4866"/>
    <w:rsid w:val="00CD1872"/>
    <w:rsid w:val="00CE737B"/>
    <w:rsid w:val="00D03DC6"/>
    <w:rsid w:val="00D258D2"/>
    <w:rsid w:val="00D40EE3"/>
    <w:rsid w:val="00D51044"/>
    <w:rsid w:val="00D510D8"/>
    <w:rsid w:val="00D52A86"/>
    <w:rsid w:val="00D61262"/>
    <w:rsid w:val="00D61796"/>
    <w:rsid w:val="00D744F8"/>
    <w:rsid w:val="00D76600"/>
    <w:rsid w:val="00D816A0"/>
    <w:rsid w:val="00D81EC0"/>
    <w:rsid w:val="00D858E6"/>
    <w:rsid w:val="00D93362"/>
    <w:rsid w:val="00D94AD0"/>
    <w:rsid w:val="00D97211"/>
    <w:rsid w:val="00D97630"/>
    <w:rsid w:val="00DA37EE"/>
    <w:rsid w:val="00DB3188"/>
    <w:rsid w:val="00DB567C"/>
    <w:rsid w:val="00DD003E"/>
    <w:rsid w:val="00DD6F33"/>
    <w:rsid w:val="00DE1370"/>
    <w:rsid w:val="00DF7F4D"/>
    <w:rsid w:val="00E01812"/>
    <w:rsid w:val="00E32378"/>
    <w:rsid w:val="00E46F64"/>
    <w:rsid w:val="00E4750A"/>
    <w:rsid w:val="00E50D46"/>
    <w:rsid w:val="00E537E1"/>
    <w:rsid w:val="00E53DA0"/>
    <w:rsid w:val="00E54F8D"/>
    <w:rsid w:val="00E555F1"/>
    <w:rsid w:val="00E65A04"/>
    <w:rsid w:val="00E70E45"/>
    <w:rsid w:val="00E87C2F"/>
    <w:rsid w:val="00E90595"/>
    <w:rsid w:val="00EB0578"/>
    <w:rsid w:val="00EC0120"/>
    <w:rsid w:val="00EC1037"/>
    <w:rsid w:val="00EC1302"/>
    <w:rsid w:val="00EC6ECD"/>
    <w:rsid w:val="00ED1E5B"/>
    <w:rsid w:val="00ED238A"/>
    <w:rsid w:val="00ED39A9"/>
    <w:rsid w:val="00ED6956"/>
    <w:rsid w:val="00EE200B"/>
    <w:rsid w:val="00F12E48"/>
    <w:rsid w:val="00F17258"/>
    <w:rsid w:val="00F26F49"/>
    <w:rsid w:val="00F33C3A"/>
    <w:rsid w:val="00F469D4"/>
    <w:rsid w:val="00F53C3A"/>
    <w:rsid w:val="00F64F0C"/>
    <w:rsid w:val="00F706D1"/>
    <w:rsid w:val="00FA2FF3"/>
    <w:rsid w:val="00FB002E"/>
    <w:rsid w:val="00FB48BE"/>
    <w:rsid w:val="00FF2A3A"/>
    <w:rsid w:val="01D56D9F"/>
    <w:rsid w:val="0B30303F"/>
    <w:rsid w:val="0BAB2BDD"/>
    <w:rsid w:val="137141F5"/>
    <w:rsid w:val="137C3440"/>
    <w:rsid w:val="141B5CB1"/>
    <w:rsid w:val="14CF3B54"/>
    <w:rsid w:val="19176336"/>
    <w:rsid w:val="196077C7"/>
    <w:rsid w:val="197A37B1"/>
    <w:rsid w:val="1C0C3B9D"/>
    <w:rsid w:val="1F926C7D"/>
    <w:rsid w:val="20210D51"/>
    <w:rsid w:val="20780ECB"/>
    <w:rsid w:val="20B607C2"/>
    <w:rsid w:val="238C6E54"/>
    <w:rsid w:val="24010163"/>
    <w:rsid w:val="262308A7"/>
    <w:rsid w:val="27892284"/>
    <w:rsid w:val="29212EA3"/>
    <w:rsid w:val="2CB50FA9"/>
    <w:rsid w:val="2DBD067A"/>
    <w:rsid w:val="2F0D2650"/>
    <w:rsid w:val="2F3A7CA2"/>
    <w:rsid w:val="30117247"/>
    <w:rsid w:val="31EE5835"/>
    <w:rsid w:val="32B00510"/>
    <w:rsid w:val="33417F51"/>
    <w:rsid w:val="337205E6"/>
    <w:rsid w:val="3476207D"/>
    <w:rsid w:val="35B24265"/>
    <w:rsid w:val="3666604A"/>
    <w:rsid w:val="380C3C9E"/>
    <w:rsid w:val="3851626E"/>
    <w:rsid w:val="392F55EC"/>
    <w:rsid w:val="3C1122D3"/>
    <w:rsid w:val="3C2E27B1"/>
    <w:rsid w:val="3C7A6C19"/>
    <w:rsid w:val="3CC57AF6"/>
    <w:rsid w:val="3D216E4D"/>
    <w:rsid w:val="3D6F5DE0"/>
    <w:rsid w:val="3D891F51"/>
    <w:rsid w:val="419E7FFC"/>
    <w:rsid w:val="41A245D5"/>
    <w:rsid w:val="42B31885"/>
    <w:rsid w:val="450B75C3"/>
    <w:rsid w:val="492D508E"/>
    <w:rsid w:val="49561F86"/>
    <w:rsid w:val="4AF9279A"/>
    <w:rsid w:val="4C462158"/>
    <w:rsid w:val="4E62660F"/>
    <w:rsid w:val="4FA66825"/>
    <w:rsid w:val="50D47CE8"/>
    <w:rsid w:val="52CF3EA0"/>
    <w:rsid w:val="56B261FD"/>
    <w:rsid w:val="56B40881"/>
    <w:rsid w:val="56F7591F"/>
    <w:rsid w:val="575F3023"/>
    <w:rsid w:val="57646BD8"/>
    <w:rsid w:val="596B5BD3"/>
    <w:rsid w:val="59F61B25"/>
    <w:rsid w:val="5D93483B"/>
    <w:rsid w:val="5EFF3A80"/>
    <w:rsid w:val="5F6E1AB2"/>
    <w:rsid w:val="5FE242B8"/>
    <w:rsid w:val="60764BC1"/>
    <w:rsid w:val="608615AB"/>
    <w:rsid w:val="612A3F60"/>
    <w:rsid w:val="61AC50C0"/>
    <w:rsid w:val="620205D1"/>
    <w:rsid w:val="64B97552"/>
    <w:rsid w:val="65646771"/>
    <w:rsid w:val="67AE7A10"/>
    <w:rsid w:val="69A7729A"/>
    <w:rsid w:val="6A152CA1"/>
    <w:rsid w:val="6A3C1716"/>
    <w:rsid w:val="6C870180"/>
    <w:rsid w:val="6D931746"/>
    <w:rsid w:val="6F663255"/>
    <w:rsid w:val="6FEE2E40"/>
    <w:rsid w:val="7057415E"/>
    <w:rsid w:val="70980188"/>
    <w:rsid w:val="71CD4FC5"/>
    <w:rsid w:val="73C01F16"/>
    <w:rsid w:val="77690189"/>
    <w:rsid w:val="7853030F"/>
    <w:rsid w:val="79D64F49"/>
    <w:rsid w:val="7C9C19C8"/>
    <w:rsid w:val="7CB42CA8"/>
    <w:rsid w:val="7E5B073E"/>
    <w:rsid w:val="7EE7067B"/>
    <w:rsid w:val="7F121093"/>
    <w:rsid w:val="7FB41E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0"/>
    <w:qFormat/>
    <w:uiPriority w:val="9"/>
    <w:pPr>
      <w:widowControl/>
      <w:spacing w:before="100" w:beforeAutospacing="1" w:after="100" w:afterAutospacing="1"/>
      <w:jc w:val="left"/>
      <w:outlineLvl w:val="2"/>
    </w:pPr>
    <w:rPr>
      <w:rFonts w:ascii="宋体" w:hAnsi="宋体" w:eastAsia="宋体" w:cs="宋体"/>
      <w:b/>
      <w:bCs/>
      <w:kern w:val="0"/>
      <w:sz w:val="27"/>
      <w:szCs w:val="27"/>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semiHidden/>
    <w:unhideWhenUsed/>
    <w:qFormat/>
    <w:uiPriority w:val="99"/>
    <w:pPr>
      <w:jc w:val="left"/>
    </w:pPr>
  </w:style>
  <w:style w:type="paragraph" w:styleId="6">
    <w:name w:val="Body Text"/>
    <w:basedOn w:val="1"/>
    <w:qFormat/>
    <w:uiPriority w:val="1"/>
    <w:rPr>
      <w:szCs w:val="32"/>
    </w:rPr>
  </w:style>
  <w:style w:type="paragraph" w:styleId="7">
    <w:name w:val="Balloon Text"/>
    <w:basedOn w:val="1"/>
    <w:link w:val="18"/>
    <w:semiHidden/>
    <w:unhideWhenUsed/>
    <w:qFormat/>
    <w:uiPriority w:val="99"/>
    <w:rPr>
      <w:sz w:val="18"/>
      <w:szCs w:val="18"/>
    </w:rPr>
  </w:style>
  <w:style w:type="paragraph" w:styleId="8">
    <w:name w:val="footer"/>
    <w:basedOn w:val="1"/>
    <w:link w:val="17"/>
    <w:unhideWhenUsed/>
    <w:qFormat/>
    <w:uiPriority w:val="99"/>
    <w:pPr>
      <w:tabs>
        <w:tab w:val="center" w:pos="4153"/>
        <w:tab w:val="right" w:pos="8306"/>
      </w:tabs>
      <w:snapToGrid w:val="0"/>
      <w:jc w:val="left"/>
    </w:pPr>
    <w:rPr>
      <w:sz w:val="18"/>
      <w:szCs w:val="18"/>
    </w:rPr>
  </w:style>
  <w:style w:type="paragraph" w:styleId="9">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3">
    <w:name w:val="Strong"/>
    <w:basedOn w:val="12"/>
    <w:qFormat/>
    <w:uiPriority w:val="22"/>
    <w:rPr>
      <w:b/>
      <w:bCs/>
    </w:rPr>
  </w:style>
  <w:style w:type="character" w:styleId="14">
    <w:name w:val="Emphasis"/>
    <w:basedOn w:val="12"/>
    <w:qFormat/>
    <w:uiPriority w:val="20"/>
    <w:rPr>
      <w:i/>
      <w:iCs/>
    </w:rPr>
  </w:style>
  <w:style w:type="character" w:styleId="15">
    <w:name w:val="Hyperlink"/>
    <w:basedOn w:val="12"/>
    <w:semiHidden/>
    <w:unhideWhenUsed/>
    <w:qFormat/>
    <w:uiPriority w:val="99"/>
    <w:rPr>
      <w:color w:val="0000FF"/>
      <w:u w:val="single"/>
    </w:rPr>
  </w:style>
  <w:style w:type="character" w:customStyle="1" w:styleId="16">
    <w:name w:val="页眉 字符"/>
    <w:basedOn w:val="12"/>
    <w:link w:val="9"/>
    <w:qFormat/>
    <w:uiPriority w:val="99"/>
    <w:rPr>
      <w:sz w:val="18"/>
      <w:szCs w:val="18"/>
    </w:rPr>
  </w:style>
  <w:style w:type="character" w:customStyle="1" w:styleId="17">
    <w:name w:val="页脚 字符"/>
    <w:basedOn w:val="12"/>
    <w:link w:val="8"/>
    <w:qFormat/>
    <w:uiPriority w:val="99"/>
    <w:rPr>
      <w:sz w:val="18"/>
      <w:szCs w:val="18"/>
    </w:rPr>
  </w:style>
  <w:style w:type="character" w:customStyle="1" w:styleId="18">
    <w:name w:val="批注框文本 字符"/>
    <w:basedOn w:val="12"/>
    <w:link w:val="7"/>
    <w:semiHidden/>
    <w:qFormat/>
    <w:uiPriority w:val="99"/>
    <w:rPr>
      <w:kern w:val="2"/>
      <w:sz w:val="18"/>
      <w:szCs w:val="18"/>
    </w:rPr>
  </w:style>
  <w:style w:type="paragraph" w:customStyle="1" w:styleId="19">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0">
    <w:name w:val="标题 3 字符"/>
    <w:basedOn w:val="12"/>
    <w:link w:val="4"/>
    <w:qFormat/>
    <w:uiPriority w:val="9"/>
    <w:rPr>
      <w:rFonts w:ascii="宋体" w:hAnsi="宋体" w:cs="宋体"/>
      <w:b/>
      <w:bCs/>
      <w:sz w:val="27"/>
      <w:szCs w:val="27"/>
    </w:rPr>
  </w:style>
  <w:style w:type="paragraph" w:styleId="21">
    <w:name w:val="List Paragraph"/>
    <w:basedOn w:val="1"/>
    <w:qFormat/>
    <w:uiPriority w:val="99"/>
    <w:pPr>
      <w:ind w:firstLine="420" w:firstLineChars="200"/>
    </w:pPr>
  </w:style>
  <w:style w:type="character" w:customStyle="1" w:styleId="22">
    <w:name w:val="标题 1 字符"/>
    <w:basedOn w:val="12"/>
    <w:link w:val="2"/>
    <w:qFormat/>
    <w:uiPriority w:val="9"/>
    <w:rPr>
      <w:rFonts w:asciiTheme="minorHAnsi" w:hAnsiTheme="minorHAnsi" w:eastAsiaTheme="minorEastAsia" w:cstheme="minorBidi"/>
      <w:b/>
      <w:bCs/>
      <w:kern w:val="44"/>
      <w:sz w:val="44"/>
      <w:szCs w:val="44"/>
    </w:rPr>
  </w:style>
  <w:style w:type="character" w:customStyle="1" w:styleId="23">
    <w:name w:val="标题 2 字符"/>
    <w:basedOn w:val="12"/>
    <w:link w:val="3"/>
    <w:qFormat/>
    <w:uiPriority w:val="9"/>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2.xml><?xml version="1.0" encoding="utf-8"?>
<contractReview xmlns="http://schemas.wps.cn/vas-ai-hub/contract-review">
  <reviewItems>
    <reviewItem>
      <errorID>5846db21-d74a-4cbf-8ae7-f01cc6a48321</errorID>
      <errorWord>(</errorWord>
      <group>L1_Format</group>
      <groupName>格式问题</groupName>
      <ability>L2_HalfPunc</ability>
      <abilityName>全半角检查</abilityName>
      <candidateList>
        <item>（</item>
      </candidateList>
      <explain>文本全半角错误。</explain>
      <paraID> 72E2071</paraID>
      <start>16</start>
      <end>17</end>
      <status>unmodified</status>
      <modifiedWord/>
      <trackRevisions>false</trackRevisions>
    </reviewItem>
    <reviewItem>
      <errorID>1ce8ca39-69ab-45eb-8e9f-dbf9bad1e8a7</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72E2071</paraID>
      <start>21</start>
      <end>22</end>
      <status>unmodified</status>
      <modifiedWord/>
      <trackRevisions>false</trackRevisions>
    </reviewItem>
    <reviewItem>
      <errorID>8a579a5b-0c2d-4651-b47f-8a941d6b0680</errorID>
      <errorWord>)</errorWord>
      <group>L1_Format</group>
      <groupName>格式问题</groupName>
      <ability>L2_HalfPunc</ability>
      <abilityName>全半角检查</abilityName>
      <candidateList>
        <item>）</item>
      </candidateList>
      <explain>文本全半角错误。</explain>
      <paraID> 72E2071</paraID>
      <start>27</start>
      <end>28</end>
      <status>unmodified</status>
      <modifiedWord/>
      <trackRevisions>false</trackRevisions>
    </reviewItem>
    <reviewItem>
      <errorID>41744bf9-73bf-4703-a345-8adbbd83a542</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72E2071</paraID>
      <start>46</start>
      <end>47</end>
      <status>unmodified</status>
      <modifiedWord/>
      <trackRevisions>false</trackRevisions>
    </reviewItem>
    <reviewItem>
      <errorID>f48adb3e-7eb9-40ef-a6c6-6b9093f2ac61</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3EFCFDE6</paraID>
      <start>42</start>
      <end>43</end>
      <status>unmodified</status>
      <modifiedWord/>
      <trackRevisions>false</trackRevisions>
    </reviewItem>
    <reviewItem>
      <errorID>b7ae0fd4-30f9-4f2e-affa-1ad8739fc6fb</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30EB4B4A</paraID>
      <start>42</start>
      <end>43</end>
      <status>unmodified</status>
      <modifiedWord/>
      <trackRevisions>false</trackRevisions>
    </reviewItem>
    <reviewItem>
      <errorID>5b7c31c3-bf76-47e4-9daf-fa70b176fff7</errorID>
      <errorWord>2-3年</errorWord>
      <group>L1_Word</group>
      <groupName>字词问题</groupName>
      <ability>L2_Typo</ability>
      <abilityName>字词错误</abilityName>
      <candidateList>
        <item>2～3年</item>
      </candidateList>
      <explain/>
      <paraID>23D3BE43</paraID>
      <start>41</start>
      <end>45</end>
      <status>unmodified</status>
      <modifiedWord/>
      <trackRevisions>false</trackRevisions>
    </reviewItem>
    <reviewItem>
      <errorID>8a96959f-6144-4f7f-a329-c71d3a1571ff</errorID>
      <errorWord>提高</errorWord>
      <group>L1_Word</group>
      <groupName>字词问题</groupName>
      <ability>L2_Typo</ability>
      <abilityName>字词错误</abilityName>
      <candidateList>
        <item>强化</item>
      </candidateList>
      <explain/>
      <paraID>2B12F5E4</paraID>
      <start>82</start>
      <end>84</end>
      <status>unmodified</status>
      <modifiedWord/>
      <trackRevisions>false</trackRevisions>
    </reviewItem>
  </reviewItems>
  <config/>
</contractReview>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085d27-00a9-43cb-9c4a-7b8ba51c68f2}">
  <ds:schemaRefs/>
</ds:datastoreItem>
</file>

<file path=customXml/itemProps3.xml><?xml version="1.0" encoding="utf-8"?>
<ds:datastoreItem xmlns:ds="http://schemas.openxmlformats.org/officeDocument/2006/customXml" ds:itemID="{A729CC9A-E02B-4EA7-B80C-18563A9D04DC}">
  <ds:schemaRefs/>
</ds:datastoreItem>
</file>

<file path=docProps/app.xml><?xml version="1.0" encoding="utf-8"?>
<Properties xmlns="http://schemas.openxmlformats.org/officeDocument/2006/extended-properties" xmlns:vt="http://schemas.openxmlformats.org/officeDocument/2006/docPropsVTypes">
  <Template>Normal</Template>
  <Pages>4</Pages>
  <Words>1946</Words>
  <Characters>2002</Characters>
  <Lines>14</Lines>
  <Paragraphs>3</Paragraphs>
  <TotalTime>33</TotalTime>
  <ScaleCrop>false</ScaleCrop>
  <LinksUpToDate>false</LinksUpToDate>
  <CharactersWithSpaces>2002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2024-03-04T07:50:00Z</dcterms:created>
  <dc:creator>lenovo</dc:creator>
  <cp:lastModifiedBy>崔璨</cp:lastModifiedBy>
  <cp:lastPrinted>2020-12-11T07:03:00Z</cp:lastPrinted>
  <dcterms:modified xsi:type="dcterms:W3CDTF">2026-03-28T07:22:23Z</dcterms:modified>
  <cp:revision>117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0E0181A3FDAA4BF2BE6F4AC3483E33D7_13</vt:lpwstr>
  </property>
  <property fmtid="{D5CDD505-2E9C-101B-9397-08002B2CF9AE}" pid="4" name="KSOTemplateDocerSaveRecord">
    <vt:lpwstr>eyJoZGlkIjoiODgwY2M0NDhkYWUxNDUwODZkMzY3MDhmNmFjZmU0YWUiLCJ1c2VySWQiOiIzNzUzMjYwNzYifQ==</vt:lpwstr>
  </property>
</Properties>
</file>